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6E7E" w14:textId="53C54974" w:rsidR="006E2D4A" w:rsidRPr="00515490" w:rsidRDefault="006E2D4A" w:rsidP="006E2D4A">
      <w:pPr>
        <w:pStyle w:val="Heading1"/>
      </w:pPr>
      <w:r w:rsidRPr="00515490">
        <w:t>Responsible Business</w:t>
      </w:r>
      <w:r w:rsidR="00765F6E" w:rsidRPr="00515490">
        <w:t>,</w:t>
      </w:r>
      <w:r w:rsidRPr="00515490">
        <w:t xml:space="preserve"> Human Rights</w:t>
      </w:r>
      <w:r w:rsidR="00E242C9" w:rsidRPr="00515490">
        <w:t xml:space="preserve"> </w:t>
      </w:r>
      <w:r w:rsidR="00765F6E" w:rsidRPr="00515490">
        <w:t>and Scotland’s National Action Plan</w:t>
      </w:r>
    </w:p>
    <w:p w14:paraId="776421E8" w14:textId="77777777" w:rsidR="00DB61D6" w:rsidRPr="00515490" w:rsidRDefault="006E2D4A" w:rsidP="009F2B2B">
      <w:r w:rsidRPr="00515490">
        <w:t xml:space="preserve">When </w:t>
      </w:r>
      <w:r w:rsidR="002575BE" w:rsidRPr="00515490">
        <w:t xml:space="preserve">someone says </w:t>
      </w:r>
      <w:r w:rsidRPr="00515490">
        <w:t xml:space="preserve">‘human rights’ and ‘business’ what do you think of? </w:t>
      </w:r>
    </w:p>
    <w:p w14:paraId="0AB2C579" w14:textId="76AB1F17" w:rsidR="006E2D4A" w:rsidRPr="00515490" w:rsidRDefault="006E2D4A" w:rsidP="009F2B2B">
      <w:r w:rsidRPr="00515490">
        <w:t xml:space="preserve">Do you think of </w:t>
      </w:r>
      <w:r w:rsidR="001360C7" w:rsidRPr="00515490">
        <w:t>global</w:t>
      </w:r>
      <w:r w:rsidRPr="00515490">
        <w:t xml:space="preserve"> supply chains, child labour or the </w:t>
      </w:r>
      <w:r w:rsidR="00DB61D6" w:rsidRPr="00515490">
        <w:t>Modern Slavery Act</w:t>
      </w:r>
      <w:r w:rsidRPr="00515490">
        <w:t>? Or do you think of your equality and diversity policies, your mental health at work activities</w:t>
      </w:r>
      <w:r w:rsidR="00DB61D6" w:rsidRPr="00515490">
        <w:t>,</w:t>
      </w:r>
      <w:r w:rsidRPr="00515490">
        <w:t xml:space="preserve"> or your provisions for parental leave</w:t>
      </w:r>
      <w:r w:rsidR="00DB61D6" w:rsidRPr="00515490">
        <w:t xml:space="preserve"> and flexible working</w:t>
      </w:r>
      <w:r w:rsidRPr="00515490">
        <w:t xml:space="preserve">? All these are human rights issues, but we don’t often think of them in this light. </w:t>
      </w:r>
    </w:p>
    <w:p w14:paraId="72DC6D8D" w14:textId="4C24D49F" w:rsidR="00DB61D6" w:rsidRPr="00515490" w:rsidRDefault="00DB61D6" w:rsidP="00DB61D6">
      <w:r w:rsidRPr="00515490">
        <w:t>Most businesses already play a significant role in promoting and protecting human rights, and would agree that respecting human rights has business benefits. It helps to enhance reputation and brand value; it increases customer base; it is key to attracting and retaining a diverse skilled workforce which in turn increases innovation and productivity; and it reduces the risk of litigation, to name only a few.</w:t>
      </w:r>
    </w:p>
    <w:p w14:paraId="062232E9" w14:textId="14BEF8B2" w:rsidR="002575BE" w:rsidRPr="00515490" w:rsidRDefault="002575BE" w:rsidP="003B6BEC">
      <w:pPr>
        <w:rPr>
          <w:b/>
        </w:rPr>
      </w:pPr>
      <w:r w:rsidRPr="00515490">
        <w:t xml:space="preserve">In November 2017 we held an information session to </w:t>
      </w:r>
      <w:r w:rsidR="00DB61D6" w:rsidRPr="00515490">
        <w:t xml:space="preserve">articulate </w:t>
      </w:r>
      <w:r w:rsidRPr="00515490">
        <w:t xml:space="preserve">the </w:t>
      </w:r>
      <w:r w:rsidR="00DB61D6" w:rsidRPr="00515490">
        <w:t xml:space="preserve">benefits to </w:t>
      </w:r>
      <w:r w:rsidRPr="00515490">
        <w:t>business</w:t>
      </w:r>
      <w:r w:rsidR="00DB61D6" w:rsidRPr="00515490">
        <w:t>es</w:t>
      </w:r>
      <w:r w:rsidRPr="00515490">
        <w:t xml:space="preserve"> </w:t>
      </w:r>
      <w:r w:rsidR="00DB61D6" w:rsidRPr="00515490">
        <w:t>of</w:t>
      </w:r>
      <w:r w:rsidRPr="00515490">
        <w:t xml:space="preserve"> promoting and respecting human rights</w:t>
      </w:r>
      <w:r w:rsidR="00DB61D6" w:rsidRPr="00515490">
        <w:t>,</w:t>
      </w:r>
      <w:r w:rsidRPr="00515490">
        <w:t xml:space="preserve"> and to raise awareness of how this is done at domestic and international levels.</w:t>
      </w:r>
      <w:r w:rsidR="00247849" w:rsidRPr="00515490">
        <w:t xml:space="preserve"> Contributors to the session noted:</w:t>
      </w:r>
    </w:p>
    <w:p w14:paraId="21E79B4E" w14:textId="2F113B0E" w:rsidR="00247849" w:rsidRPr="00F366FC" w:rsidRDefault="002575BE" w:rsidP="003B6BEC">
      <w:pPr>
        <w:pStyle w:val="Quote"/>
      </w:pPr>
      <w:r w:rsidRPr="00515490">
        <w:t xml:space="preserve">“Integrating respect for </w:t>
      </w:r>
      <w:r w:rsidR="00247849" w:rsidRPr="00515490">
        <w:t xml:space="preserve">human rights </w:t>
      </w:r>
      <w:r w:rsidRPr="00515490">
        <w:t xml:space="preserve">at an early stage in our management processes can contribute to avoiding potential abuse, and help to sustain a mutually beneficial relationship with our stakeholders. It can prevent delays in the execution of the Group’s operations and improve our Business Units’ performance. It is everybody’s concern and it is part of our commitment to better </w:t>
      </w:r>
      <w:bookmarkStart w:id="0" w:name="_GoBack"/>
      <w:bookmarkEnd w:id="0"/>
      <w:r w:rsidRPr="00F366FC">
        <w:t>energy.”</w:t>
      </w:r>
      <w:r w:rsidR="003B6BEC" w:rsidRPr="00F366FC">
        <w:tab/>
      </w:r>
      <w:proofErr w:type="spellStart"/>
      <w:r w:rsidR="00247849" w:rsidRPr="00F366FC">
        <w:t>Adebola</w:t>
      </w:r>
      <w:proofErr w:type="spellEnd"/>
      <w:r w:rsidR="00247849" w:rsidRPr="00F366FC">
        <w:t xml:space="preserve"> </w:t>
      </w:r>
      <w:proofErr w:type="spellStart"/>
      <w:r w:rsidR="00247849" w:rsidRPr="00F366FC">
        <w:t>Ogunlade</w:t>
      </w:r>
      <w:proofErr w:type="spellEnd"/>
      <w:r w:rsidR="00247849" w:rsidRPr="00F366FC">
        <w:t>, Legal Counsel, Total S.A. Paris</w:t>
      </w:r>
    </w:p>
    <w:p w14:paraId="43134740" w14:textId="42869561" w:rsidR="009C09FA" w:rsidRPr="00F366FC" w:rsidRDefault="009C09FA" w:rsidP="00F366FC">
      <w:pPr>
        <w:pStyle w:val="Quote"/>
      </w:pPr>
      <w:r w:rsidRPr="00F366FC">
        <w:t>“</w:t>
      </w:r>
      <w:r w:rsidR="00F366FC" w:rsidRPr="00F366FC">
        <w:rPr>
          <w:lang w:val="en"/>
        </w:rPr>
        <w:t>Ideas such as human dignity and fair work, a vibrant economy and a well-integrated society, the benefits of sustainable and inclusive economic growth, all have a very direct bearing on the challenges and ambition which are common to both government and the business community.</w:t>
      </w:r>
      <w:r w:rsidR="00F366FC" w:rsidRPr="00F366FC">
        <w:t xml:space="preserve"> … </w:t>
      </w:r>
      <w:r w:rsidR="00F366FC" w:rsidRPr="00F366FC">
        <w:rPr>
          <w:lang w:val="en"/>
        </w:rPr>
        <w:t xml:space="preserve">So human rights and business are inherently connected. And all of us have a role to play in respecting, protecting and </w:t>
      </w:r>
      <w:proofErr w:type="spellStart"/>
      <w:r w:rsidR="00F366FC" w:rsidRPr="00F366FC">
        <w:rPr>
          <w:lang w:val="en"/>
        </w:rPr>
        <w:t>realising</w:t>
      </w:r>
      <w:proofErr w:type="spellEnd"/>
      <w:r w:rsidR="00F366FC" w:rsidRPr="00F366FC">
        <w:rPr>
          <w:lang w:val="en"/>
        </w:rPr>
        <w:t xml:space="preserve"> human rights - not just because it is the right thing to do – though it is – but because it also makes economic sense.</w:t>
      </w:r>
      <w:r w:rsidRPr="00F366FC">
        <w:t xml:space="preserve">” </w:t>
      </w:r>
      <w:r w:rsidRPr="00F366FC">
        <w:tab/>
        <w:t>Keith Brown MSP, Cabinet Secretary for the Economy, Jobs and Fair Work</w:t>
      </w:r>
    </w:p>
    <w:p w14:paraId="5269C502" w14:textId="5D358E5E" w:rsidR="00247849" w:rsidRPr="00515490" w:rsidRDefault="009F2B2B" w:rsidP="003B6BEC">
      <w:pPr>
        <w:pStyle w:val="Quote"/>
      </w:pPr>
      <w:r w:rsidRPr="00515490">
        <w:t>“Human rights due diligence is a powerful risk management tool. Whether operating locally or embedded in global value chains, it makes businesses more resilient, supports sustainability and ultimately adds value for sharehold</w:t>
      </w:r>
      <w:r w:rsidR="002575BE" w:rsidRPr="00515490">
        <w:t>ers as well as stakeholders.”</w:t>
      </w:r>
      <w:r w:rsidR="003B6BEC" w:rsidRPr="00515490">
        <w:tab/>
      </w:r>
      <w:r w:rsidR="00247849" w:rsidRPr="00515490">
        <w:t>Dr Claire Methven O’Brien, Danish Institute for Human Rights</w:t>
      </w:r>
    </w:p>
    <w:p w14:paraId="7CCA8066" w14:textId="7EEEB560" w:rsidR="00EB0FCE" w:rsidRPr="00515490" w:rsidRDefault="00EB0FCE" w:rsidP="003B6BEC">
      <w:pPr>
        <w:pStyle w:val="Quote"/>
      </w:pPr>
      <w:r w:rsidRPr="00515490">
        <w:t xml:space="preserve">“The Commission welcomes the interest of Scottish businesses in the area of human rights and I am encouraged today by your commitment to take this seriously. It is now widely accepted that business enterprises are required to respect human rights and companies are no longer satisfied with merely doing no </w:t>
      </w:r>
      <w:r w:rsidRPr="00515490">
        <w:lastRenderedPageBreak/>
        <w:t>harm, they want to actively do good. This is we are we are asking businesses to further their human rights commitment by participating actively and supporting Scotland’s first National Action Plan on Business and Human Rights. A National Plan would enable policy coherence and alignment for responsible business conduct as well as creating a consistent level playing field for companies across our country.”</w:t>
      </w:r>
      <w:r w:rsidR="003B6BEC" w:rsidRPr="00515490">
        <w:tab/>
      </w:r>
      <w:r w:rsidR="003B6BEC" w:rsidRPr="00515490">
        <w:tab/>
      </w:r>
      <w:r w:rsidRPr="00515490">
        <w:t>Judith Robertson, SHRC Chair</w:t>
      </w:r>
    </w:p>
    <w:p w14:paraId="5DCEC887" w14:textId="5BA7A990" w:rsidR="00EB0FCE" w:rsidRPr="00515490" w:rsidRDefault="00EB0FCE" w:rsidP="00CC4F94">
      <w:pPr>
        <w:pStyle w:val="Heading2"/>
      </w:pPr>
      <w:r w:rsidRPr="00515490">
        <w:t>Daily examples of human rights protections in Scottish businesses</w:t>
      </w:r>
    </w:p>
    <w:p w14:paraId="4AB58301" w14:textId="7AB4ED21" w:rsidR="00EB0FCE" w:rsidRPr="00515490" w:rsidRDefault="00EB0FCE" w:rsidP="00EB0FCE">
      <w:r w:rsidRPr="00515490">
        <w:t xml:space="preserve">Age (both old and young), race, gender, disability and socio-economic background are all areas where responsible businesses will have developed strong, integrated policies to increase </w:t>
      </w:r>
      <w:r w:rsidR="00CC4F94" w:rsidRPr="00515490">
        <w:t xml:space="preserve">equality, </w:t>
      </w:r>
      <w:r w:rsidRPr="00515490">
        <w:t xml:space="preserve">diversity </w:t>
      </w:r>
      <w:r w:rsidR="00CC4F94" w:rsidRPr="00515490">
        <w:t xml:space="preserve">and inclusion </w:t>
      </w:r>
      <w:r w:rsidRPr="00515490">
        <w:t>as part of a successful business practice. In doing so, these businesses have also, consciously or unconsciously, developed a baseline of activity in Scotland of respecting human rights.</w:t>
      </w:r>
    </w:p>
    <w:p w14:paraId="264663EC" w14:textId="568F5F83" w:rsidR="00C04CBF" w:rsidRPr="00515490" w:rsidRDefault="00EB0FCE" w:rsidP="00C04CBF">
      <w:r w:rsidRPr="00515490">
        <w:t>Mental health and wellbeing is another area where business has made great strides in recent years, assisted by campaigns and reports such as t</w:t>
      </w:r>
      <w:r w:rsidR="00C04CBF" w:rsidRPr="00515490">
        <w:t>he Mental Health at Work reports from BITC. According to the Scottish Human Rights Commission: Mental health care and treatment engages a range of human rights standards including adequate information, respect for private and family life and informed consent.” Whenever businesses implement mental health policies which support individuals suffering from poor mental health, they are assisting the individual’s right to health.</w:t>
      </w:r>
    </w:p>
    <w:p w14:paraId="0A83BAEF" w14:textId="17858624" w:rsidR="00C04CBF" w:rsidRPr="00515490" w:rsidRDefault="00C04CBF" w:rsidP="00C04CBF">
      <w:r w:rsidRPr="00515490">
        <w:t xml:space="preserve">Flexible working, parental leave and talent development policies also have </w:t>
      </w:r>
      <w:r w:rsidR="00CC4F94" w:rsidRPr="00515490">
        <w:t>human rights elements to them as well as strong business cases for them. Retention, productivity, innovation and resilience all improve when a business has a solid foundation of supporting employees through good policies and practices. They also ensure that the business is respecting human rights as part of its business as usual activities.</w:t>
      </w:r>
    </w:p>
    <w:p w14:paraId="16B27E10" w14:textId="445F3DDF" w:rsidR="0020024E" w:rsidRPr="00515490" w:rsidRDefault="00247849" w:rsidP="002502C7">
      <w:pPr>
        <w:pStyle w:val="Heading2"/>
        <w:rPr>
          <w:rFonts w:eastAsia="Times New Roman"/>
        </w:rPr>
      </w:pPr>
      <w:r w:rsidRPr="00515490">
        <w:t>United Nations Guiding Principles</w:t>
      </w:r>
    </w:p>
    <w:p w14:paraId="26A4B942" w14:textId="4B9CC72A" w:rsidR="00247849" w:rsidRPr="00515490" w:rsidRDefault="00247849" w:rsidP="00247849">
      <w:r w:rsidRPr="00515490">
        <w:t xml:space="preserve">The United Nations Guiding Principles on Business and Human Rights (UNGPs), adopted in 2011, </w:t>
      </w:r>
      <w:r w:rsidR="001C5D2E" w:rsidRPr="00515490">
        <w:t>articulate</w:t>
      </w:r>
      <w:r w:rsidRPr="00515490">
        <w:t xml:space="preserve"> a three-pillar framework:</w:t>
      </w:r>
    </w:p>
    <w:p w14:paraId="4AB24CC4" w14:textId="64E2CC2A" w:rsidR="00247849" w:rsidRPr="00515490" w:rsidRDefault="00247849" w:rsidP="00247849">
      <w:r w:rsidRPr="00515490">
        <w:rPr>
          <w:b/>
          <w:color w:val="E6007E" w:themeColor="accent1"/>
        </w:rPr>
        <w:t xml:space="preserve">Pillar I: </w:t>
      </w:r>
      <w:r w:rsidRPr="00515490">
        <w:t>State duty to protect against human rights abuses by third parties.</w:t>
      </w:r>
    </w:p>
    <w:p w14:paraId="393FC0D1" w14:textId="6BBF625D" w:rsidR="00247849" w:rsidRPr="00515490" w:rsidRDefault="00247849" w:rsidP="00247849">
      <w:r w:rsidRPr="00515490">
        <w:rPr>
          <w:b/>
          <w:color w:val="E6007E" w:themeColor="accent1"/>
        </w:rPr>
        <w:t>Pillar II:</w:t>
      </w:r>
      <w:r w:rsidRPr="00515490">
        <w:rPr>
          <w:color w:val="E6007E" w:themeColor="accent1"/>
        </w:rPr>
        <w:t xml:space="preserve"> </w:t>
      </w:r>
      <w:r w:rsidRPr="00515490">
        <w:t>Corporate responsibility to respect human rights, that is to act with due diligence to avoid infringing on human rights and address any adverse impacts.</w:t>
      </w:r>
    </w:p>
    <w:p w14:paraId="4AFE400A" w14:textId="282D7456" w:rsidR="00247849" w:rsidRPr="00515490" w:rsidRDefault="00247849" w:rsidP="00247849">
      <w:r w:rsidRPr="00515490">
        <w:rPr>
          <w:b/>
          <w:color w:val="E6007E" w:themeColor="accent1"/>
        </w:rPr>
        <w:t>Pillar III:</w:t>
      </w:r>
      <w:r w:rsidRPr="00515490">
        <w:rPr>
          <w:color w:val="E6007E" w:themeColor="accent1"/>
        </w:rPr>
        <w:t xml:space="preserve"> </w:t>
      </w:r>
      <w:r w:rsidRPr="00515490">
        <w:t>Access to an effective remedy for victims.</w:t>
      </w:r>
    </w:p>
    <w:p w14:paraId="1EC5CDB5" w14:textId="16118F4E" w:rsidR="00CC4F94" w:rsidRPr="00515490" w:rsidRDefault="00CC4F94" w:rsidP="00515490">
      <w:pPr>
        <w:pStyle w:val="Quote"/>
      </w:pPr>
      <w:r w:rsidRPr="00515490">
        <w:t>“A transformational roadmap to a future where the billions of people whose lives are impacted by corporate activities are treated with respect for their dignity and fundamental welfare – a world where human beings and corporations alike can thrive and prosper.”</w:t>
      </w:r>
      <w:r w:rsidR="00515490" w:rsidRPr="00515490">
        <w:tab/>
      </w:r>
      <w:r w:rsidRPr="00515490">
        <w:t xml:space="preserve">Professor John </w:t>
      </w:r>
      <w:proofErr w:type="spellStart"/>
      <w:r w:rsidRPr="00515490">
        <w:t>Ruggie</w:t>
      </w:r>
      <w:proofErr w:type="spellEnd"/>
      <w:r w:rsidRPr="00515490">
        <w:t>, former UN Special Representative for Business and Human Rights</w:t>
      </w:r>
    </w:p>
    <w:p w14:paraId="63DE45C4" w14:textId="197F08E4" w:rsidR="00CC4F94" w:rsidRPr="00515490" w:rsidRDefault="00CC4F94" w:rsidP="00CC4F94">
      <w:r w:rsidRPr="00515490">
        <w:t xml:space="preserve">The European Union (in 2011) and the United Nations Human Rights Council (in 2014) have called for the development of National Action Plans (NAPs) to support the implementation of the UNGPs. Since 2011 a number of countries, including the </w:t>
      </w:r>
      <w:hyperlink r:id="rId12" w:history="1">
        <w:r w:rsidRPr="00515490">
          <w:rPr>
            <w:rStyle w:val="Hyperlink"/>
          </w:rPr>
          <w:t>UK</w:t>
        </w:r>
      </w:hyperlink>
      <w:r w:rsidRPr="00515490">
        <w:t>, have developed NAPs. In October 2016, a National Baseline Assessment was published as the first stage in the development of a NAP to implement the UNGPs in Scotland.</w:t>
      </w:r>
    </w:p>
    <w:p w14:paraId="03D667A0" w14:textId="4FC8C299" w:rsidR="00995E19" w:rsidRPr="00515490" w:rsidRDefault="00995E19" w:rsidP="00247849">
      <w:r w:rsidRPr="00515490">
        <w:lastRenderedPageBreak/>
        <w:t>A range of initiatives in Scotland already put into practice aspects of the UN Guiding Principles on Human Rights, for example the Scottish Business Pledge, the Fair Work Conve</w:t>
      </w:r>
      <w:r w:rsidR="00681173" w:rsidRPr="00515490">
        <w:t>ntion, the Scottish Government</w:t>
      </w:r>
      <w:r w:rsidRPr="00515490">
        <w:t xml:space="preserve"> Labour Market Strategy and acti</w:t>
      </w:r>
      <w:r w:rsidR="00681173" w:rsidRPr="00515490">
        <w:t>on to combat human trafficking.</w:t>
      </w:r>
    </w:p>
    <w:p w14:paraId="69EC0AD9" w14:textId="265F241F" w:rsidR="00995E19" w:rsidRPr="00515490" w:rsidRDefault="00995E19" w:rsidP="00247849">
      <w:r w:rsidRPr="00515490">
        <w:t xml:space="preserve">Stakeholders, including businesses, trade unions, civil society organisations and children and young people are being invited to discuss this evidence base and contribute their views and experience to the drafting of Scotland’s NAP. </w:t>
      </w:r>
    </w:p>
    <w:p w14:paraId="589D259E" w14:textId="43C5091C" w:rsidR="0020024E" w:rsidRPr="00515490" w:rsidRDefault="00995E19" w:rsidP="002502C7">
      <w:pPr>
        <w:pStyle w:val="Heading2"/>
      </w:pPr>
      <w:r w:rsidRPr="00515490">
        <w:t>Scottish National Action Plan</w:t>
      </w:r>
    </w:p>
    <w:p w14:paraId="3CA7C770" w14:textId="7D0D4876" w:rsidR="0020024E" w:rsidRPr="00515490" w:rsidRDefault="0020024E" w:rsidP="00995E19">
      <w:r w:rsidRPr="00515490">
        <w:t>The development of a Scottish National Action Plan can contribute to highlighting existing good practice in Scotland</w:t>
      </w:r>
      <w:r w:rsidR="00803610" w:rsidRPr="00515490">
        <w:t>, sharing international best practice, integrating human rights standards into organisational structures and procedures</w:t>
      </w:r>
      <w:r w:rsidR="00892C85" w:rsidRPr="00515490">
        <w:t>, and establishing networks of collaboration so that respect for human rights becomes a distinctive feature of businesses operating in Scotland.</w:t>
      </w:r>
    </w:p>
    <w:p w14:paraId="51C537B6" w14:textId="3BE18ED6" w:rsidR="00995E19" w:rsidRPr="00515490" w:rsidRDefault="00995E19" w:rsidP="00995E19">
      <w:r w:rsidRPr="00515490">
        <w:t xml:space="preserve">Business has a huge part to play in shaping the </w:t>
      </w:r>
      <w:r w:rsidR="00681173" w:rsidRPr="00515490">
        <w:t>action p</w:t>
      </w:r>
      <w:r w:rsidRPr="00515490">
        <w:t>lan.</w:t>
      </w:r>
      <w:r w:rsidR="0020024E" w:rsidRPr="00515490">
        <w:t xml:space="preserve"> A</w:t>
      </w:r>
      <w:r w:rsidRPr="00515490">
        <w:t>s</w:t>
      </w:r>
      <w:r w:rsidR="00681173" w:rsidRPr="00515490">
        <w:t xml:space="preserve"> the p</w:t>
      </w:r>
      <w:r w:rsidR="0020024E" w:rsidRPr="00515490">
        <w:t>lan will contain actions for both government and business, it is vital that businesses take this opportunity to engage in its development so that it is achievable, efficient and effective.</w:t>
      </w:r>
    </w:p>
    <w:p w14:paraId="115F682F" w14:textId="47EA0FA0" w:rsidR="00D44483" w:rsidRPr="00515490" w:rsidRDefault="00CC4F94" w:rsidP="00995E19">
      <w:r w:rsidRPr="00515490">
        <w:t xml:space="preserve">Consultation with business began in November 2017 at an event hosted by PwC. This </w:t>
      </w:r>
      <w:r w:rsidR="00BB7B34" w:rsidRPr="00515490">
        <w:t>is being followed up by a workshop in March 2018 which will identify existing best practice, review the baseline assessment and propose actions to be included in the plan.</w:t>
      </w:r>
    </w:p>
    <w:p w14:paraId="5F623AAD" w14:textId="7087EE3A" w:rsidR="00D44483" w:rsidRPr="00515490" w:rsidRDefault="00D44483" w:rsidP="00D44483">
      <w:r w:rsidRPr="00515490">
        <w:t>From April 2018 a working group will be established to draft the Scottish NAP. Businesses interested in participating in either the drafting group or a consulting</w:t>
      </w:r>
      <w:r w:rsidR="000501C8" w:rsidRPr="00515490">
        <w:t xml:space="preserve"> group to inform the drafting should indicate their interest to </w:t>
      </w:r>
      <w:r w:rsidR="004C744E" w:rsidRPr="00515490">
        <w:t xml:space="preserve">David Holmes, International Human Rights Policy Coordinator at the Scottish Government: </w:t>
      </w:r>
      <w:hyperlink r:id="rId13" w:history="1">
        <w:proofErr w:type="spellStart"/>
        <w:r w:rsidR="004C744E" w:rsidRPr="00515490">
          <w:rPr>
            <w:rStyle w:val="Hyperlink"/>
          </w:rPr>
          <w:t>David.Holmes@gov.scot</w:t>
        </w:r>
        <w:proofErr w:type="spellEnd"/>
      </w:hyperlink>
      <w:r w:rsidR="004C744E" w:rsidRPr="00515490">
        <w:t xml:space="preserve"> </w:t>
      </w:r>
    </w:p>
    <w:p w14:paraId="3878AD24" w14:textId="26862F2B" w:rsidR="00995E19" w:rsidRPr="00515490" w:rsidRDefault="00995E19" w:rsidP="002502C7">
      <w:pPr>
        <w:pStyle w:val="Heading2"/>
      </w:pPr>
      <w:r w:rsidRPr="00515490">
        <w:t>Human Rights and the Sustainable Development Goals</w:t>
      </w:r>
    </w:p>
    <w:p w14:paraId="44E6C7B0" w14:textId="41EC4E89" w:rsidR="00995E19" w:rsidRPr="00515490" w:rsidRDefault="00995E19" w:rsidP="00247849">
      <w:r w:rsidRPr="00515490">
        <w:t xml:space="preserve">Other international policy agendas, such as the </w:t>
      </w:r>
      <w:r w:rsidR="004C744E" w:rsidRPr="00515490">
        <w:t xml:space="preserve">UN </w:t>
      </w:r>
      <w:r w:rsidRPr="00515490">
        <w:t>Sustainable</w:t>
      </w:r>
      <w:r w:rsidR="004C744E" w:rsidRPr="00515490">
        <w:t xml:space="preserve"> Development Goals (SDGs), also overlap</w:t>
      </w:r>
      <w:r w:rsidRPr="00515490">
        <w:t xml:space="preserve"> with the objectives of Scotland’s National Action Plan for Business and Human Rights.</w:t>
      </w:r>
    </w:p>
    <w:p w14:paraId="0A6EC472" w14:textId="77777777" w:rsidR="00CC4F94" w:rsidRPr="00515490" w:rsidRDefault="00995E19" w:rsidP="00995E19">
      <w:r w:rsidRPr="00515490">
        <w:t xml:space="preserve">Many businesses are aware of the </w:t>
      </w:r>
      <w:r w:rsidR="004C744E" w:rsidRPr="00515490">
        <w:t>SDGs</w:t>
      </w:r>
      <w:r w:rsidRPr="00515490">
        <w:t xml:space="preserve"> and at BITC we are working</w:t>
      </w:r>
      <w:r w:rsidR="004C744E" w:rsidRPr="00515490">
        <w:t xml:space="preserve"> with members to integrate them</w:t>
      </w:r>
      <w:r w:rsidRPr="00515490">
        <w:t xml:space="preserve"> into their reporting an</w:t>
      </w:r>
      <w:r w:rsidR="004C744E" w:rsidRPr="00515490">
        <w:t>d strategy objectives. But the</w:t>
      </w:r>
      <w:r w:rsidRPr="00515490">
        <w:t xml:space="preserve"> 17 goals also </w:t>
      </w:r>
      <w:r w:rsidR="004C744E" w:rsidRPr="00515490">
        <w:t>align with</w:t>
      </w:r>
      <w:r w:rsidRPr="00515490">
        <w:t xml:space="preserve"> human rights </w:t>
      </w:r>
      <w:r w:rsidR="004C744E" w:rsidRPr="00515490">
        <w:t>and</w:t>
      </w:r>
      <w:r w:rsidRPr="00515490">
        <w:t>, by working to support the SDGs</w:t>
      </w:r>
      <w:r w:rsidR="004C744E" w:rsidRPr="00515490">
        <w:t>,</w:t>
      </w:r>
      <w:r w:rsidRPr="00515490">
        <w:t xml:space="preserve"> businesses are </w:t>
      </w:r>
      <w:r w:rsidR="004C744E" w:rsidRPr="00515490">
        <w:t>thereby</w:t>
      </w:r>
      <w:r w:rsidRPr="00515490">
        <w:t xml:space="preserve"> working to protect and respect human rights in their business.</w:t>
      </w:r>
    </w:p>
    <w:p w14:paraId="207F6826" w14:textId="7D41997F" w:rsidR="00995E19" w:rsidRPr="00515490" w:rsidRDefault="00554344" w:rsidP="00995E19">
      <w:r w:rsidRPr="00515490">
        <w:t xml:space="preserve">No matter how large or small, and regardless of their industry, all companies can contribute to the SDGs. While the scale and scope of the global goals is unprecedented, the fundamental ways that business can contribute remain unchanged. Read more about what the SDGs mean for business </w:t>
      </w:r>
      <w:hyperlink r:id="rId14" w:history="1">
        <w:r w:rsidRPr="00515490">
          <w:rPr>
            <w:rStyle w:val="Hyperlink"/>
          </w:rPr>
          <w:t>here</w:t>
        </w:r>
      </w:hyperlink>
      <w:r w:rsidRPr="00515490">
        <w:t>, at the Global Compact</w:t>
      </w:r>
      <w:r w:rsidR="00CC4F94" w:rsidRPr="00515490">
        <w:t xml:space="preserve"> website.</w:t>
      </w:r>
    </w:p>
    <w:p w14:paraId="0899E44A" w14:textId="796647EF" w:rsidR="001360C7" w:rsidRPr="00515490" w:rsidRDefault="00995E19" w:rsidP="001360C7">
      <w:r w:rsidRPr="00515490">
        <w:t xml:space="preserve">The Danish Institute for Human Rights has </w:t>
      </w:r>
      <w:r w:rsidR="00CC4F94" w:rsidRPr="00515490">
        <w:t xml:space="preserve">also </w:t>
      </w:r>
      <w:r w:rsidRPr="00515490">
        <w:t xml:space="preserve">created a very useful </w:t>
      </w:r>
      <w:hyperlink r:id="rId15" w:history="1">
        <w:r w:rsidRPr="00515490">
          <w:rPr>
            <w:rStyle w:val="Hyperlink"/>
          </w:rPr>
          <w:t>resource</w:t>
        </w:r>
      </w:hyperlink>
      <w:r w:rsidRPr="00515490">
        <w:t xml:space="preserve"> showi</w:t>
      </w:r>
      <w:r w:rsidR="004C744E" w:rsidRPr="00515490">
        <w:t>ng how each of the SDGs align with</w:t>
      </w:r>
      <w:r w:rsidRPr="00515490">
        <w:t xml:space="preserve"> international human rights conventions, frameworks and legislation.</w:t>
      </w:r>
    </w:p>
    <w:p w14:paraId="63E2A1B8" w14:textId="3AB35F34" w:rsidR="00BB7B34" w:rsidRPr="00515490" w:rsidRDefault="00BB7B34" w:rsidP="001360C7">
      <w:r w:rsidRPr="00515490">
        <w:t xml:space="preserve">BITC Scotland will be delivering a series of workshops for members on the sustainable development goals including an overview, how to align strategy and report against and how to use organisational development and investment to support the SDGs in Autumn 2018 and beyond. If you are interested in benefiting from these workshops or joining BITC Scotland in growing the responsible business movement please contact Alan Thornburrow, Director of BITC Scotland at </w:t>
      </w:r>
      <w:hyperlink r:id="rId16" w:history="1">
        <w:proofErr w:type="spellStart"/>
        <w:r w:rsidRPr="00515490">
          <w:rPr>
            <w:rStyle w:val="Hyperlink"/>
          </w:rPr>
          <w:t>Alan.Thornburrow@bitc.org.uk</w:t>
        </w:r>
        <w:proofErr w:type="spellEnd"/>
      </w:hyperlink>
      <w:r w:rsidRPr="00515490">
        <w:t xml:space="preserve"> </w:t>
      </w:r>
    </w:p>
    <w:p w14:paraId="0E582CC1" w14:textId="77777777" w:rsidR="00515490" w:rsidRPr="00515490" w:rsidRDefault="00515490" w:rsidP="001360C7"/>
    <w:sectPr w:rsidR="00515490" w:rsidRPr="00515490" w:rsidSect="002A4522">
      <w:footerReference w:type="default" r:id="rId17"/>
      <w:headerReference w:type="first" r:id="rId18"/>
      <w:footerReference w:type="first" r:id="rId19"/>
      <w:pgSz w:w="11907" w:h="16839" w:code="9"/>
      <w:pgMar w:top="1276" w:right="709" w:bottom="1418" w:left="709"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9F666" w14:textId="77777777" w:rsidR="00A64DA7" w:rsidRDefault="00A64DA7" w:rsidP="00DE6FF5">
      <w:r>
        <w:separator/>
      </w:r>
    </w:p>
  </w:endnote>
  <w:endnote w:type="continuationSeparator" w:id="0">
    <w:p w14:paraId="09AE7FD9" w14:textId="77777777" w:rsidR="00A64DA7" w:rsidRDefault="00A64DA7" w:rsidP="00DE6FF5">
      <w:r>
        <w:continuationSeparator/>
      </w:r>
    </w:p>
  </w:endnote>
  <w:endnote w:type="continuationNotice" w:id="1">
    <w:p w14:paraId="25DB453C" w14:textId="77777777" w:rsidR="00A64DA7" w:rsidRDefault="00A6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nt672">
    <w:altName w:val="Times New Roman"/>
    <w:panose1 w:val="020B0604020202020204"/>
    <w:charset w:val="00"/>
    <w:family w:val="auto"/>
    <w:notTrueType/>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57" w:type="dxa"/>
        <w:left w:w="0" w:type="dxa"/>
        <w:right w:w="0" w:type="dxa"/>
      </w:tblCellMar>
      <w:tblLook w:val="04A0" w:firstRow="1" w:lastRow="0" w:firstColumn="1" w:lastColumn="0" w:noHBand="0" w:noVBand="1"/>
    </w:tblPr>
    <w:tblGrid>
      <w:gridCol w:w="7939"/>
      <w:gridCol w:w="2550"/>
    </w:tblGrid>
    <w:tr w:rsidR="00EA2B21" w:rsidRPr="00221E8A" w14:paraId="34743DAE" w14:textId="77777777" w:rsidTr="00DE3A90">
      <w:trPr>
        <w:trHeight w:val="471"/>
      </w:trPr>
      <w:tc>
        <w:tcPr>
          <w:tcW w:w="7938" w:type="dxa"/>
          <w:vAlign w:val="bottom"/>
        </w:tcPr>
        <w:p w14:paraId="535DF56E" w14:textId="77777777" w:rsidR="00EA2B21" w:rsidRPr="002078A0" w:rsidRDefault="00EA2B21" w:rsidP="004844EB">
          <w:pPr>
            <w:pStyle w:val="Footer"/>
            <w:spacing w:after="0"/>
            <w:rPr>
              <w:b/>
              <w:bCs/>
              <w:color w:val="E6007E" w:themeColor="accent1"/>
              <w:sz w:val="22"/>
              <w:szCs w:val="36"/>
            </w:rPr>
          </w:pPr>
          <w:r w:rsidRPr="002078A0">
            <w:rPr>
              <w:b/>
              <w:bCs/>
              <w:color w:val="E6007E" w:themeColor="accent1"/>
              <w:sz w:val="22"/>
              <w:szCs w:val="36"/>
            </w:rPr>
            <w:t>BUSINESS IN THE COMMUNITY</w:t>
          </w:r>
        </w:p>
        <w:p w14:paraId="569D5E71" w14:textId="77777777" w:rsidR="00EA2B21" w:rsidRPr="002078A0" w:rsidRDefault="00EA2B21" w:rsidP="004844EB">
          <w:pPr>
            <w:pStyle w:val="Footer"/>
            <w:spacing w:after="0"/>
            <w:rPr>
              <w:b/>
              <w:bCs/>
              <w:color w:val="E6007E" w:themeColor="accent1"/>
              <w:sz w:val="22"/>
              <w:szCs w:val="36"/>
            </w:rPr>
          </w:pPr>
          <w:r w:rsidRPr="002078A0">
            <w:rPr>
              <w:color w:val="E6007E" w:themeColor="accent1"/>
              <w:sz w:val="18"/>
              <w:szCs w:val="28"/>
            </w:rPr>
            <w:t>The Prince’s Responsible Business Network</w:t>
          </w:r>
        </w:p>
      </w:tc>
      <w:tc>
        <w:tcPr>
          <w:tcW w:w="2550" w:type="dxa"/>
          <w:vAlign w:val="bottom"/>
        </w:tcPr>
        <w:p w14:paraId="6E3CFAF3" w14:textId="6D897FEC" w:rsidR="00EA2B21" w:rsidRPr="00221E8A" w:rsidRDefault="00EA2B21" w:rsidP="00221E8A">
          <w:pPr>
            <w:pStyle w:val="Footer"/>
            <w:jc w:val="right"/>
            <w:rPr>
              <w:sz w:val="18"/>
              <w:szCs w:val="28"/>
            </w:rPr>
          </w:pPr>
          <w:proofErr w:type="spellStart"/>
          <w:r w:rsidRPr="002078A0">
            <w:rPr>
              <w:color w:val="E6007E" w:themeColor="accent1"/>
              <w:sz w:val="18"/>
              <w:szCs w:val="28"/>
            </w:rPr>
            <w:t>www.bitc.org.uk</w:t>
          </w:r>
          <w:proofErr w:type="spellEnd"/>
          <w:r w:rsidR="00CC4F94">
            <w:rPr>
              <w:sz w:val="18"/>
              <w:szCs w:val="28"/>
            </w:rPr>
            <w:t xml:space="preserve"> </w:t>
          </w:r>
          <w:r w:rsidRPr="008D1DAE">
            <w:rPr>
              <w:sz w:val="18"/>
              <w:szCs w:val="28"/>
            </w:rPr>
            <w:t>I</w:t>
          </w:r>
          <w:r w:rsidR="00CC4F94">
            <w:rPr>
              <w:sz w:val="18"/>
              <w:szCs w:val="28"/>
            </w:rPr>
            <w:t xml:space="preserve"> </w:t>
          </w:r>
          <w:r w:rsidRPr="008D1DAE">
            <w:rPr>
              <w:color w:val="E6007E" w:themeColor="accent1"/>
              <w:sz w:val="18"/>
              <w:szCs w:val="28"/>
            </w:rPr>
            <w:fldChar w:fldCharType="begin"/>
          </w:r>
          <w:r w:rsidRPr="008D1DAE">
            <w:rPr>
              <w:color w:val="E6007E" w:themeColor="accent1"/>
              <w:sz w:val="18"/>
              <w:szCs w:val="28"/>
            </w:rPr>
            <w:instrText xml:space="preserve"> PAGE  \* Arabic </w:instrText>
          </w:r>
          <w:r w:rsidRPr="008D1DAE">
            <w:rPr>
              <w:color w:val="E6007E" w:themeColor="accent1"/>
              <w:sz w:val="18"/>
              <w:szCs w:val="28"/>
            </w:rPr>
            <w:fldChar w:fldCharType="separate"/>
          </w:r>
          <w:r w:rsidR="00491AD0">
            <w:rPr>
              <w:noProof/>
              <w:color w:val="E6007E" w:themeColor="accent1"/>
              <w:sz w:val="18"/>
              <w:szCs w:val="28"/>
            </w:rPr>
            <w:t>3</w:t>
          </w:r>
          <w:r w:rsidRPr="008D1DAE">
            <w:rPr>
              <w:color w:val="E6007E" w:themeColor="accent1"/>
              <w:sz w:val="18"/>
              <w:szCs w:val="28"/>
            </w:rPr>
            <w:fldChar w:fldCharType="end"/>
          </w:r>
        </w:p>
      </w:tc>
    </w:tr>
  </w:tbl>
  <w:p w14:paraId="6A6F0A5C" w14:textId="77777777" w:rsidR="00221E8A" w:rsidRDefault="00221E8A" w:rsidP="00EA2B21">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57" w:type="dxa"/>
        <w:left w:w="0" w:type="dxa"/>
        <w:right w:w="0" w:type="dxa"/>
      </w:tblCellMar>
      <w:tblLook w:val="04A0" w:firstRow="1" w:lastRow="0" w:firstColumn="1" w:lastColumn="0" w:noHBand="0" w:noVBand="1"/>
    </w:tblPr>
    <w:tblGrid>
      <w:gridCol w:w="8930"/>
      <w:gridCol w:w="1559"/>
    </w:tblGrid>
    <w:tr w:rsidR="00415A6D" w14:paraId="1CE2A86F" w14:textId="77777777" w:rsidTr="00C41689">
      <w:trPr>
        <w:cantSplit/>
        <w:trHeight w:val="1020"/>
      </w:trPr>
      <w:tc>
        <w:tcPr>
          <w:tcW w:w="4257" w:type="pct"/>
          <w:vAlign w:val="bottom"/>
        </w:tcPr>
        <w:p w14:paraId="00B7E259" w14:textId="32730BAC" w:rsidR="00415A6D" w:rsidRDefault="00C41689" w:rsidP="004844EB">
          <w:pPr>
            <w:pStyle w:val="Footer"/>
            <w:spacing w:after="0"/>
            <w:rPr>
              <w:sz w:val="16"/>
              <w:szCs w:val="24"/>
            </w:rPr>
          </w:pPr>
          <w:r>
            <w:rPr>
              <w:sz w:val="16"/>
              <w:szCs w:val="24"/>
            </w:rPr>
            <w:t>S</w:t>
          </w:r>
          <w:r w:rsidR="007F426C">
            <w:rPr>
              <w:sz w:val="16"/>
              <w:szCs w:val="24"/>
            </w:rPr>
            <w:t xml:space="preserve">cotland Office | </w:t>
          </w:r>
          <w:proofErr w:type="spellStart"/>
          <w:r w:rsidR="007F426C">
            <w:rPr>
              <w:sz w:val="16"/>
              <w:szCs w:val="24"/>
            </w:rPr>
            <w:t>L</w:t>
          </w:r>
          <w:r>
            <w:rPr>
              <w:sz w:val="16"/>
              <w:szCs w:val="24"/>
            </w:rPr>
            <w:t>vingstone</w:t>
          </w:r>
          <w:proofErr w:type="spellEnd"/>
          <w:r>
            <w:rPr>
              <w:sz w:val="16"/>
              <w:szCs w:val="24"/>
            </w:rPr>
            <w:t xml:space="preserve"> House, 43a Discovery Terrace, Heriot-Watt Research Park, Edinburgh EH14 4AP</w:t>
          </w:r>
          <w:r>
            <w:rPr>
              <w:sz w:val="16"/>
              <w:szCs w:val="24"/>
            </w:rPr>
            <w:br/>
          </w:r>
          <w:r w:rsidRPr="005700BC">
            <w:rPr>
              <w:sz w:val="16"/>
              <w:szCs w:val="24"/>
            </w:rPr>
            <w:t>T: +44 (0)</w:t>
          </w:r>
          <w:r>
            <w:rPr>
              <w:sz w:val="16"/>
              <w:szCs w:val="24"/>
            </w:rPr>
            <w:t>131 451 1100</w:t>
          </w:r>
          <w:r w:rsidRPr="005700BC">
            <w:rPr>
              <w:sz w:val="16"/>
              <w:szCs w:val="24"/>
            </w:rPr>
            <w:t>I</w:t>
          </w:r>
          <w:r w:rsidRPr="002078A0">
            <w:rPr>
              <w:sz w:val="16"/>
              <w:szCs w:val="24"/>
            </w:rPr>
            <w:t>www.bitc.org.uk</w:t>
          </w:r>
          <w:r>
            <w:rPr>
              <w:sz w:val="16"/>
              <w:szCs w:val="24"/>
            </w:rPr>
            <w:t>/</w:t>
          </w:r>
          <w:r w:rsidR="007F426C">
            <w:rPr>
              <w:sz w:val="16"/>
              <w:szCs w:val="24"/>
            </w:rPr>
            <w:t xml:space="preserve">Scotland | </w:t>
          </w:r>
          <w:r w:rsidRPr="005700BC">
            <w:rPr>
              <w:sz w:val="16"/>
              <w:szCs w:val="24"/>
            </w:rPr>
            <w:t>@</w:t>
          </w:r>
          <w:proofErr w:type="spellStart"/>
          <w:r w:rsidRPr="005700BC">
            <w:rPr>
              <w:sz w:val="16"/>
              <w:szCs w:val="24"/>
            </w:rPr>
            <w:t>BITC</w:t>
          </w:r>
          <w:r>
            <w:rPr>
              <w:sz w:val="16"/>
              <w:szCs w:val="24"/>
            </w:rPr>
            <w:t>Scotland</w:t>
          </w:r>
          <w:proofErr w:type="spellEnd"/>
          <w:r>
            <w:rPr>
              <w:sz w:val="16"/>
              <w:szCs w:val="24"/>
            </w:rPr>
            <w:br/>
            <w:t xml:space="preserve">Registered Office: </w:t>
          </w:r>
          <w:r w:rsidR="00415A6D" w:rsidRPr="005700BC">
            <w:rPr>
              <w:sz w:val="16"/>
              <w:szCs w:val="24"/>
            </w:rPr>
            <w:t>137 Shepherdess Walk London N1 7RQIT: +44 (0)20 7566 8650I</w:t>
          </w:r>
          <w:r w:rsidR="00415A6D" w:rsidRPr="002078A0">
            <w:rPr>
              <w:sz w:val="16"/>
              <w:szCs w:val="24"/>
            </w:rPr>
            <w:t>www.bitc.org.uk</w:t>
          </w:r>
          <w:r w:rsidR="00415A6D" w:rsidRPr="005700BC">
            <w:rPr>
              <w:sz w:val="16"/>
              <w:szCs w:val="24"/>
            </w:rPr>
            <w:t>|@BITC</w:t>
          </w:r>
        </w:p>
        <w:p w14:paraId="29730E3B" w14:textId="234EC085" w:rsidR="00415A6D" w:rsidRDefault="00415A6D" w:rsidP="004844EB">
          <w:pPr>
            <w:pStyle w:val="Footer"/>
            <w:spacing w:after="0"/>
          </w:pPr>
          <w:r w:rsidRPr="005700BC">
            <w:t>President HRH The Prince of Wales</w:t>
          </w:r>
          <w:r w:rsidR="007F426C">
            <w:t xml:space="preserve"> </w:t>
          </w:r>
          <w:r w:rsidRPr="005700BC">
            <w:t>I</w:t>
          </w:r>
          <w:r w:rsidR="007F426C">
            <w:t xml:space="preserve"> </w:t>
          </w:r>
          <w:r w:rsidRPr="005700BC">
            <w:t xml:space="preserve">Chief Executive </w:t>
          </w:r>
          <w:r w:rsidR="00A83245">
            <w:t>Amanda Mackenzie OBE</w:t>
          </w:r>
        </w:p>
        <w:p w14:paraId="3DF5B31E" w14:textId="77777777" w:rsidR="00415A6D" w:rsidRPr="005700BC" w:rsidRDefault="00415A6D" w:rsidP="004844EB">
          <w:pPr>
            <w:pStyle w:val="Footer"/>
            <w:spacing w:after="0"/>
            <w:rPr>
              <w:sz w:val="16"/>
              <w:szCs w:val="24"/>
            </w:rPr>
          </w:pPr>
          <w:r w:rsidRPr="005700BC">
            <w:t>Business in the Community is registered in England and Wales</w:t>
          </w:r>
          <w:r w:rsidR="005525B1">
            <w:t xml:space="preserve"> </w:t>
          </w:r>
          <w:r w:rsidR="005525B1" w:rsidRPr="005525B1">
            <w:t>(</w:t>
          </w:r>
          <w:r w:rsidR="005525B1">
            <w:t>297716) and Scotland (SC046226)</w:t>
          </w:r>
          <w:r w:rsidRPr="005700BC">
            <w:t>. Company limited by guarantee No 1619253</w:t>
          </w:r>
          <w:r w:rsidR="007E77BF">
            <w:t>.</w:t>
          </w:r>
        </w:p>
      </w:tc>
      <w:tc>
        <w:tcPr>
          <w:tcW w:w="743" w:type="pct"/>
          <w:vAlign w:val="bottom"/>
        </w:tcPr>
        <w:p w14:paraId="15E56865" w14:textId="77777777" w:rsidR="00415A6D" w:rsidRDefault="00415A6D" w:rsidP="00D02DA6">
          <w:pPr>
            <w:pStyle w:val="Footer"/>
            <w:jc w:val="right"/>
          </w:pPr>
          <w:r w:rsidRPr="005700BC">
            <w:rPr>
              <w:noProof/>
              <w:lang w:eastAsia="en-GB"/>
            </w:rPr>
            <w:drawing>
              <wp:anchor distT="0" distB="0" distL="114300" distR="114300" simplePos="0" relativeHeight="251661311" behindDoc="0" locked="0" layoutInCell="1" allowOverlap="1" wp14:anchorId="69071CB5" wp14:editId="03C0144C">
                <wp:simplePos x="0" y="0"/>
                <wp:positionH relativeFrom="column">
                  <wp:posOffset>346710</wp:posOffset>
                </wp:positionH>
                <wp:positionV relativeFrom="paragraph">
                  <wp:posOffset>-635</wp:posOffset>
                </wp:positionV>
                <wp:extent cx="647700"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647793" w14:textId="77777777" w:rsidR="006A3358" w:rsidRDefault="006A3358" w:rsidP="00EA2B21">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C26A8" w14:textId="77777777" w:rsidR="00A64DA7" w:rsidRDefault="00A64DA7" w:rsidP="00DE6FF5">
      <w:r>
        <w:separator/>
      </w:r>
    </w:p>
  </w:footnote>
  <w:footnote w:type="continuationSeparator" w:id="0">
    <w:p w14:paraId="1773D639" w14:textId="77777777" w:rsidR="00A64DA7" w:rsidRDefault="00A64DA7" w:rsidP="00DE6FF5">
      <w:r>
        <w:continuationSeparator/>
      </w:r>
    </w:p>
  </w:footnote>
  <w:footnote w:type="continuationNotice" w:id="1">
    <w:p w14:paraId="6CE93F9A" w14:textId="77777777" w:rsidR="00A64DA7" w:rsidRDefault="00A64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EF23" w14:textId="77777777" w:rsidR="003E4CCA" w:rsidRDefault="003E4CCA" w:rsidP="00F70D4E">
    <w:pPr>
      <w:pStyle w:val="Header"/>
    </w:pPr>
  </w:p>
  <w:p w14:paraId="79C8F238" w14:textId="77777777" w:rsidR="003E4CCA" w:rsidRDefault="003E4CCA" w:rsidP="00F70D4E">
    <w:pPr>
      <w:pStyle w:val="Header"/>
    </w:pPr>
  </w:p>
  <w:p w14:paraId="2D014CC0" w14:textId="77777777" w:rsidR="003E4CCA" w:rsidRDefault="003E4CCA" w:rsidP="00F70D4E">
    <w:pPr>
      <w:pStyle w:val="Header"/>
    </w:pPr>
  </w:p>
  <w:p w14:paraId="25EA25B6" w14:textId="77777777" w:rsidR="003E4CCA" w:rsidRDefault="003E4CCA" w:rsidP="00F70D4E">
    <w:pPr>
      <w:pStyle w:val="Header"/>
    </w:pPr>
  </w:p>
  <w:p w14:paraId="22B5874B" w14:textId="77777777" w:rsidR="00815A33" w:rsidRDefault="001E4140" w:rsidP="00F70D4E">
    <w:pPr>
      <w:pStyle w:val="Header"/>
    </w:pPr>
    <w:r w:rsidRPr="001E4140">
      <w:rPr>
        <w:noProof/>
        <w:lang w:eastAsia="en-GB"/>
      </w:rPr>
      <w:drawing>
        <wp:anchor distT="0" distB="0" distL="114300" distR="114300" simplePos="0" relativeHeight="251660287" behindDoc="0" locked="1" layoutInCell="1" allowOverlap="1" wp14:anchorId="4D1D87A1" wp14:editId="4D1D87A2">
          <wp:simplePos x="0" y="0"/>
          <wp:positionH relativeFrom="page">
            <wp:align>right</wp:align>
          </wp:positionH>
          <wp:positionV relativeFrom="page">
            <wp:align>top</wp:align>
          </wp:positionV>
          <wp:extent cx="2700000" cy="130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327" t="-127071" r="-16012" b="-2260"/>
                  <a:stretch/>
                </pic:blipFill>
                <pic:spPr bwMode="auto">
                  <a:xfrm>
                    <a:off x="0" y="0"/>
                    <a:ext cx="2700000" cy="13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6F21" w:rsidRPr="00976F21">
      <w:rPr>
        <w:noProof/>
        <w:lang w:eastAsia="en-GB"/>
      </w:rPr>
      <w:drawing>
        <wp:anchor distT="0" distB="0" distL="114300" distR="114300" simplePos="0" relativeHeight="251659262" behindDoc="1" locked="1" layoutInCell="1" allowOverlap="1" wp14:anchorId="4D1D87A3" wp14:editId="4D1D87A4">
          <wp:simplePos x="0" y="0"/>
          <wp:positionH relativeFrom="page">
            <wp:posOffset>450215</wp:posOffset>
          </wp:positionH>
          <wp:positionV relativeFrom="page">
            <wp:posOffset>450215</wp:posOffset>
          </wp:positionV>
          <wp:extent cx="15120000" cy="90000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2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157"/>
    <w:multiLevelType w:val="hybridMultilevel"/>
    <w:tmpl w:val="ABA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F2A2F"/>
    <w:multiLevelType w:val="multilevel"/>
    <w:tmpl w:val="4F2253E8"/>
    <w:styleLink w:val="StyleNumberedBefore063cmHanging063cm"/>
    <w:lvl w:ilvl="0">
      <w:start w:val="1"/>
      <w:numFmt w:val="decimal"/>
      <w:lvlText w:val="%1."/>
      <w:lvlJc w:val="left"/>
      <w:pPr>
        <w:tabs>
          <w:tab w:val="num" w:pos="340"/>
        </w:tabs>
        <w:ind w:left="340" w:hanging="340"/>
      </w:pPr>
      <w:rPr>
        <w:rFonts w:hint="default"/>
        <w:color w:val="E6007E" w:themeColor="accent1"/>
      </w:rPr>
    </w:lvl>
    <w:lvl w:ilvl="1">
      <w:start w:val="1"/>
      <w:numFmt w:val="lowerLetter"/>
      <w:lvlText w:val="%2."/>
      <w:lvlJc w:val="left"/>
      <w:pPr>
        <w:tabs>
          <w:tab w:val="num" w:pos="680"/>
        </w:tabs>
        <w:ind w:left="680" w:hanging="340"/>
      </w:pPr>
      <w:rPr>
        <w:rFonts w:hint="default"/>
        <w:color w:val="E6007E" w:themeColor="accent1"/>
      </w:rPr>
    </w:lvl>
    <w:lvl w:ilvl="2">
      <w:start w:val="1"/>
      <w:numFmt w:val="lowerRoman"/>
      <w:lvlText w:val="%3."/>
      <w:lvlJc w:val="left"/>
      <w:pPr>
        <w:tabs>
          <w:tab w:val="num" w:pos="1021"/>
        </w:tabs>
        <w:ind w:left="1021" w:hanging="341"/>
      </w:pPr>
      <w:rPr>
        <w:rFonts w:hint="default"/>
        <w:color w:val="E6007E" w:themeColor="accent1"/>
      </w:rPr>
    </w:lvl>
    <w:lvl w:ilvl="3">
      <w:start w:val="1"/>
      <w:numFmt w:val="decimal"/>
      <w:lvlText w:val="%4."/>
      <w:lvlJc w:val="left"/>
      <w:pPr>
        <w:tabs>
          <w:tab w:val="num" w:pos="1361"/>
        </w:tabs>
        <w:ind w:left="1361" w:hanging="340"/>
      </w:pPr>
      <w:rPr>
        <w:rFonts w:hint="default"/>
        <w:color w:val="E6007E" w:themeColor="accent1"/>
      </w:rPr>
    </w:lvl>
    <w:lvl w:ilvl="4">
      <w:start w:val="1"/>
      <w:numFmt w:val="lowerLetter"/>
      <w:lvlText w:val="%5."/>
      <w:lvlJc w:val="left"/>
      <w:pPr>
        <w:tabs>
          <w:tab w:val="num" w:pos="1701"/>
        </w:tabs>
        <w:ind w:left="1701" w:hanging="340"/>
      </w:pPr>
      <w:rPr>
        <w:rFonts w:hint="default"/>
        <w:color w:val="E6007E" w:themeColor="accent1"/>
      </w:rPr>
    </w:lvl>
    <w:lvl w:ilvl="5">
      <w:start w:val="1"/>
      <w:numFmt w:val="lowerRoman"/>
      <w:lvlText w:val="%6."/>
      <w:lvlJc w:val="left"/>
      <w:pPr>
        <w:tabs>
          <w:tab w:val="num" w:pos="2041"/>
        </w:tabs>
        <w:ind w:left="2041" w:hanging="340"/>
      </w:pPr>
      <w:rPr>
        <w:rFonts w:hint="default"/>
        <w:color w:val="E6007E" w:themeColor="accent1"/>
      </w:rPr>
    </w:lvl>
    <w:lvl w:ilvl="6">
      <w:start w:val="1"/>
      <w:numFmt w:val="decimal"/>
      <w:lvlText w:val="%7."/>
      <w:lvlJc w:val="left"/>
      <w:pPr>
        <w:tabs>
          <w:tab w:val="num" w:pos="2381"/>
        </w:tabs>
        <w:ind w:left="2381" w:hanging="340"/>
      </w:pPr>
      <w:rPr>
        <w:rFonts w:hint="default"/>
        <w:color w:val="E6007E" w:themeColor="accent1"/>
      </w:rPr>
    </w:lvl>
    <w:lvl w:ilvl="7">
      <w:start w:val="1"/>
      <w:numFmt w:val="lowerLetter"/>
      <w:lvlText w:val="%8."/>
      <w:lvlJc w:val="left"/>
      <w:pPr>
        <w:tabs>
          <w:tab w:val="num" w:pos="2722"/>
        </w:tabs>
        <w:ind w:left="2722" w:hanging="341"/>
      </w:pPr>
      <w:rPr>
        <w:rFonts w:hint="default"/>
        <w:color w:val="E6007E" w:themeColor="accent1"/>
      </w:rPr>
    </w:lvl>
    <w:lvl w:ilvl="8">
      <w:start w:val="1"/>
      <w:numFmt w:val="lowerRoman"/>
      <w:lvlText w:val="%9."/>
      <w:lvlJc w:val="left"/>
      <w:pPr>
        <w:tabs>
          <w:tab w:val="num" w:pos="3062"/>
        </w:tabs>
        <w:ind w:left="3062" w:hanging="340"/>
      </w:pPr>
      <w:rPr>
        <w:rFonts w:hint="default"/>
        <w:color w:val="E6007E" w:themeColor="accent1"/>
      </w:rPr>
    </w:lvl>
  </w:abstractNum>
  <w:abstractNum w:abstractNumId="2" w15:restartNumberingAfterBreak="0">
    <w:nsid w:val="153006C4"/>
    <w:multiLevelType w:val="multilevel"/>
    <w:tmpl w:val="CA36ECBC"/>
    <w:styleLink w:val="BITC-Bullets"/>
    <w:lvl w:ilvl="0">
      <w:start w:val="1"/>
      <w:numFmt w:val="bullet"/>
      <w:lvlText w:val=""/>
      <w:lvlJc w:val="left"/>
      <w:pPr>
        <w:tabs>
          <w:tab w:val="num" w:pos="340"/>
        </w:tabs>
        <w:ind w:left="340" w:hanging="340"/>
      </w:pPr>
      <w:rPr>
        <w:rFonts w:ascii="Symbol" w:hAnsi="Symbol" w:cs="Times New Roman"/>
        <w:color w:val="E6007E" w:themeColor="accent1"/>
      </w:rPr>
    </w:lvl>
    <w:lvl w:ilvl="1">
      <w:start w:val="1"/>
      <w:numFmt w:val="bullet"/>
      <w:lvlText w:val="–"/>
      <w:lvlJc w:val="left"/>
      <w:pPr>
        <w:tabs>
          <w:tab w:val="num" w:pos="680"/>
        </w:tabs>
        <w:ind w:left="680" w:hanging="340"/>
      </w:pPr>
      <w:rPr>
        <w:rFonts w:ascii="Times New Roman" w:hAnsi="Times New Roman" w:cs="Times New Roman" w:hint="default"/>
        <w:color w:val="E6007E" w:themeColor="accent1"/>
      </w:rPr>
    </w:lvl>
    <w:lvl w:ilvl="2">
      <w:start w:val="1"/>
      <w:numFmt w:val="bullet"/>
      <w:lvlText w:val="–"/>
      <w:lvlJc w:val="left"/>
      <w:pPr>
        <w:tabs>
          <w:tab w:val="num" w:pos="1021"/>
        </w:tabs>
        <w:ind w:left="1021" w:hanging="341"/>
      </w:pPr>
      <w:rPr>
        <w:rFonts w:ascii="Times New Roman" w:hAnsi="Times New Roman" w:cs="Times New Roman" w:hint="default"/>
        <w:color w:val="E6007E" w:themeColor="accent1"/>
      </w:rPr>
    </w:lvl>
    <w:lvl w:ilvl="3">
      <w:start w:val="1"/>
      <w:numFmt w:val="bullet"/>
      <w:lvlText w:val="–"/>
      <w:lvlJc w:val="left"/>
      <w:pPr>
        <w:tabs>
          <w:tab w:val="num" w:pos="1361"/>
        </w:tabs>
        <w:ind w:left="1361" w:hanging="340"/>
      </w:pPr>
      <w:rPr>
        <w:rFonts w:ascii="Times New Roman" w:hAnsi="Times New Roman" w:cs="Times New Roman" w:hint="default"/>
        <w:color w:val="E6007E" w:themeColor="accent1"/>
      </w:rPr>
    </w:lvl>
    <w:lvl w:ilvl="4">
      <w:start w:val="1"/>
      <w:numFmt w:val="bullet"/>
      <w:lvlText w:val="–"/>
      <w:lvlJc w:val="left"/>
      <w:pPr>
        <w:tabs>
          <w:tab w:val="num" w:pos="1701"/>
        </w:tabs>
        <w:ind w:left="1701" w:hanging="340"/>
      </w:pPr>
      <w:rPr>
        <w:rFonts w:ascii="Times New Roman" w:hAnsi="Times New Roman" w:cs="Times New Roman" w:hint="default"/>
        <w:color w:val="E6007E" w:themeColor="accent1"/>
      </w:rPr>
    </w:lvl>
    <w:lvl w:ilvl="5">
      <w:start w:val="1"/>
      <w:numFmt w:val="bullet"/>
      <w:lvlText w:val="–"/>
      <w:lvlJc w:val="left"/>
      <w:pPr>
        <w:tabs>
          <w:tab w:val="num" w:pos="2041"/>
        </w:tabs>
        <w:ind w:left="2041" w:hanging="340"/>
      </w:pPr>
      <w:rPr>
        <w:rFonts w:ascii="Times New Roman" w:hAnsi="Times New Roman" w:cs="Times New Roman" w:hint="default"/>
        <w:color w:val="E6007E" w:themeColor="accent1"/>
      </w:rPr>
    </w:lvl>
    <w:lvl w:ilvl="6">
      <w:start w:val="1"/>
      <w:numFmt w:val="bullet"/>
      <w:lvlText w:val="–"/>
      <w:lvlJc w:val="left"/>
      <w:pPr>
        <w:tabs>
          <w:tab w:val="num" w:pos="2381"/>
        </w:tabs>
        <w:ind w:left="2381" w:hanging="340"/>
      </w:pPr>
      <w:rPr>
        <w:rFonts w:ascii="Times New Roman" w:hAnsi="Times New Roman" w:cs="Times New Roman" w:hint="default"/>
        <w:color w:val="E6007E" w:themeColor="accent1"/>
      </w:rPr>
    </w:lvl>
    <w:lvl w:ilvl="7">
      <w:start w:val="1"/>
      <w:numFmt w:val="bullet"/>
      <w:lvlText w:val="–"/>
      <w:lvlJc w:val="left"/>
      <w:pPr>
        <w:tabs>
          <w:tab w:val="num" w:pos="2722"/>
        </w:tabs>
        <w:ind w:left="2722" w:hanging="341"/>
      </w:pPr>
      <w:rPr>
        <w:rFonts w:ascii="Times New Roman" w:hAnsi="Times New Roman" w:cs="Times New Roman" w:hint="default"/>
        <w:color w:val="E6007E" w:themeColor="accent1"/>
      </w:rPr>
    </w:lvl>
    <w:lvl w:ilvl="8">
      <w:start w:val="1"/>
      <w:numFmt w:val="bullet"/>
      <w:lvlText w:val="–"/>
      <w:lvlJc w:val="left"/>
      <w:pPr>
        <w:tabs>
          <w:tab w:val="num" w:pos="3062"/>
        </w:tabs>
        <w:ind w:left="3062" w:hanging="340"/>
      </w:pPr>
      <w:rPr>
        <w:rFonts w:ascii="Times New Roman" w:hAnsi="Times New Roman" w:cs="Times New Roman" w:hint="default"/>
        <w:color w:val="E6007E" w:themeColor="accent1"/>
      </w:rPr>
    </w:lvl>
  </w:abstractNum>
  <w:abstractNum w:abstractNumId="3" w15:restartNumberingAfterBreak="0">
    <w:nsid w:val="1D6B5AC5"/>
    <w:multiLevelType w:val="multilevel"/>
    <w:tmpl w:val="DFBEFD96"/>
    <w:styleLink w:val="StyleNumberedBefore063cmHanging063cm1"/>
    <w:lvl w:ilvl="0">
      <w:start w:val="1"/>
      <w:numFmt w:val="decimal"/>
      <w:lvlText w:val="%1."/>
      <w:lvlJc w:val="left"/>
      <w:pPr>
        <w:tabs>
          <w:tab w:val="num" w:pos="340"/>
        </w:tabs>
        <w:ind w:left="340" w:hanging="340"/>
      </w:pPr>
      <w:rPr>
        <w:rFonts w:hint="default"/>
        <w:color w:val="E6007E" w:themeColor="accent1"/>
      </w:rPr>
    </w:lvl>
    <w:lvl w:ilvl="1">
      <w:start w:val="1"/>
      <w:numFmt w:val="lowerLetter"/>
      <w:lvlText w:val="%2."/>
      <w:lvlJc w:val="left"/>
      <w:pPr>
        <w:tabs>
          <w:tab w:val="num" w:pos="680"/>
        </w:tabs>
        <w:ind w:left="680" w:hanging="340"/>
      </w:pPr>
      <w:rPr>
        <w:rFonts w:hint="default"/>
        <w:color w:val="E6007E" w:themeColor="accent1"/>
      </w:rPr>
    </w:lvl>
    <w:lvl w:ilvl="2">
      <w:start w:val="1"/>
      <w:numFmt w:val="lowerRoman"/>
      <w:lvlText w:val="%3."/>
      <w:lvlJc w:val="left"/>
      <w:pPr>
        <w:tabs>
          <w:tab w:val="num" w:pos="1021"/>
        </w:tabs>
        <w:ind w:left="1021" w:hanging="341"/>
      </w:pPr>
      <w:rPr>
        <w:rFonts w:hint="default"/>
        <w:color w:val="E6007E" w:themeColor="accent1"/>
      </w:rPr>
    </w:lvl>
    <w:lvl w:ilvl="3">
      <w:start w:val="1"/>
      <w:numFmt w:val="decimal"/>
      <w:lvlText w:val="%4."/>
      <w:lvlJc w:val="left"/>
      <w:pPr>
        <w:tabs>
          <w:tab w:val="num" w:pos="1361"/>
        </w:tabs>
        <w:ind w:left="1361" w:hanging="340"/>
      </w:pPr>
      <w:rPr>
        <w:rFonts w:hint="default"/>
        <w:color w:val="E6007E" w:themeColor="accent1"/>
      </w:rPr>
    </w:lvl>
    <w:lvl w:ilvl="4">
      <w:start w:val="1"/>
      <w:numFmt w:val="lowerLetter"/>
      <w:lvlText w:val="%5."/>
      <w:lvlJc w:val="left"/>
      <w:pPr>
        <w:tabs>
          <w:tab w:val="num" w:pos="1701"/>
        </w:tabs>
        <w:ind w:left="1701" w:hanging="340"/>
      </w:pPr>
      <w:rPr>
        <w:rFonts w:hint="default"/>
        <w:color w:val="E6007E" w:themeColor="accent1"/>
      </w:rPr>
    </w:lvl>
    <w:lvl w:ilvl="5">
      <w:start w:val="1"/>
      <w:numFmt w:val="lowerRoman"/>
      <w:lvlText w:val="%6."/>
      <w:lvlJc w:val="left"/>
      <w:pPr>
        <w:tabs>
          <w:tab w:val="num" w:pos="2041"/>
        </w:tabs>
        <w:ind w:left="2041" w:hanging="340"/>
      </w:pPr>
      <w:rPr>
        <w:rFonts w:hint="default"/>
        <w:color w:val="E6007E" w:themeColor="accent1"/>
      </w:rPr>
    </w:lvl>
    <w:lvl w:ilvl="6">
      <w:start w:val="1"/>
      <w:numFmt w:val="decimal"/>
      <w:lvlText w:val="%7."/>
      <w:lvlJc w:val="left"/>
      <w:pPr>
        <w:tabs>
          <w:tab w:val="num" w:pos="2381"/>
        </w:tabs>
        <w:ind w:left="2381" w:hanging="340"/>
      </w:pPr>
      <w:rPr>
        <w:rFonts w:hint="default"/>
        <w:color w:val="E6007E" w:themeColor="accent1"/>
      </w:rPr>
    </w:lvl>
    <w:lvl w:ilvl="7">
      <w:start w:val="1"/>
      <w:numFmt w:val="lowerLetter"/>
      <w:lvlText w:val="%8."/>
      <w:lvlJc w:val="left"/>
      <w:pPr>
        <w:tabs>
          <w:tab w:val="num" w:pos="2722"/>
        </w:tabs>
        <w:ind w:left="2722" w:hanging="341"/>
      </w:pPr>
      <w:rPr>
        <w:rFonts w:hint="default"/>
        <w:color w:val="E6007E" w:themeColor="accent1"/>
      </w:rPr>
    </w:lvl>
    <w:lvl w:ilvl="8">
      <w:start w:val="1"/>
      <w:numFmt w:val="lowerRoman"/>
      <w:lvlText w:val="%9."/>
      <w:lvlJc w:val="left"/>
      <w:pPr>
        <w:tabs>
          <w:tab w:val="num" w:pos="3062"/>
        </w:tabs>
        <w:ind w:left="3062" w:hanging="340"/>
      </w:pPr>
      <w:rPr>
        <w:rFonts w:hint="default"/>
        <w:color w:val="E6007E" w:themeColor="accent1"/>
      </w:rPr>
    </w:lvl>
  </w:abstractNum>
  <w:abstractNum w:abstractNumId="4" w15:restartNumberingAfterBreak="0">
    <w:nsid w:val="26110D28"/>
    <w:multiLevelType w:val="multilevel"/>
    <w:tmpl w:val="CA36ECBC"/>
    <w:styleLink w:val="StyleOutlinenumberedSymbolsymbolComplexTimesNewRoman1"/>
    <w:lvl w:ilvl="0">
      <w:start w:val="1"/>
      <w:numFmt w:val="bullet"/>
      <w:lvlText w:val=""/>
      <w:lvlJc w:val="left"/>
      <w:pPr>
        <w:tabs>
          <w:tab w:val="num" w:pos="340"/>
        </w:tabs>
        <w:ind w:left="340" w:hanging="340"/>
      </w:pPr>
      <w:rPr>
        <w:rFonts w:ascii="Symbol" w:hAnsi="Symbol" w:cs="Times New Roman" w:hint="default"/>
        <w:color w:val="E6007E" w:themeColor="accent1"/>
      </w:rPr>
    </w:lvl>
    <w:lvl w:ilvl="1">
      <w:start w:val="1"/>
      <w:numFmt w:val="bullet"/>
      <w:lvlText w:val="–"/>
      <w:lvlJc w:val="left"/>
      <w:pPr>
        <w:tabs>
          <w:tab w:val="num" w:pos="680"/>
        </w:tabs>
        <w:ind w:left="680" w:hanging="340"/>
      </w:pPr>
      <w:rPr>
        <w:rFonts w:ascii="Times New Roman" w:hAnsi="Times New Roman" w:cs="Times New Roman" w:hint="default"/>
        <w:color w:val="E6007E" w:themeColor="accent1"/>
      </w:rPr>
    </w:lvl>
    <w:lvl w:ilvl="2">
      <w:start w:val="1"/>
      <w:numFmt w:val="bullet"/>
      <w:lvlText w:val="–"/>
      <w:lvlJc w:val="left"/>
      <w:pPr>
        <w:tabs>
          <w:tab w:val="num" w:pos="1021"/>
        </w:tabs>
        <w:ind w:left="1021" w:hanging="341"/>
      </w:pPr>
      <w:rPr>
        <w:rFonts w:ascii="Times New Roman" w:hAnsi="Times New Roman" w:cs="Times New Roman" w:hint="default"/>
        <w:color w:val="E6007E" w:themeColor="accent1"/>
      </w:rPr>
    </w:lvl>
    <w:lvl w:ilvl="3">
      <w:start w:val="1"/>
      <w:numFmt w:val="bullet"/>
      <w:lvlText w:val="–"/>
      <w:lvlJc w:val="left"/>
      <w:pPr>
        <w:tabs>
          <w:tab w:val="num" w:pos="1361"/>
        </w:tabs>
        <w:ind w:left="1361" w:hanging="340"/>
      </w:pPr>
      <w:rPr>
        <w:rFonts w:ascii="Times New Roman" w:hAnsi="Times New Roman" w:cs="Times New Roman" w:hint="default"/>
        <w:color w:val="E6007E" w:themeColor="accent1"/>
      </w:rPr>
    </w:lvl>
    <w:lvl w:ilvl="4">
      <w:start w:val="1"/>
      <w:numFmt w:val="bullet"/>
      <w:lvlText w:val="–"/>
      <w:lvlJc w:val="left"/>
      <w:pPr>
        <w:tabs>
          <w:tab w:val="num" w:pos="1701"/>
        </w:tabs>
        <w:ind w:left="1701" w:hanging="340"/>
      </w:pPr>
      <w:rPr>
        <w:rFonts w:ascii="Times New Roman" w:hAnsi="Times New Roman" w:cs="Times New Roman" w:hint="default"/>
        <w:color w:val="E6007E" w:themeColor="accent1"/>
      </w:rPr>
    </w:lvl>
    <w:lvl w:ilvl="5">
      <w:start w:val="1"/>
      <w:numFmt w:val="bullet"/>
      <w:lvlText w:val="–"/>
      <w:lvlJc w:val="left"/>
      <w:pPr>
        <w:tabs>
          <w:tab w:val="num" w:pos="2041"/>
        </w:tabs>
        <w:ind w:left="2041" w:hanging="340"/>
      </w:pPr>
      <w:rPr>
        <w:rFonts w:ascii="Times New Roman" w:hAnsi="Times New Roman" w:cs="Times New Roman" w:hint="default"/>
        <w:color w:val="E6007E" w:themeColor="accent1"/>
      </w:rPr>
    </w:lvl>
    <w:lvl w:ilvl="6">
      <w:start w:val="1"/>
      <w:numFmt w:val="bullet"/>
      <w:lvlText w:val="–"/>
      <w:lvlJc w:val="left"/>
      <w:pPr>
        <w:tabs>
          <w:tab w:val="num" w:pos="2381"/>
        </w:tabs>
        <w:ind w:left="2381" w:hanging="340"/>
      </w:pPr>
      <w:rPr>
        <w:rFonts w:ascii="Times New Roman" w:hAnsi="Times New Roman" w:cs="Times New Roman" w:hint="default"/>
        <w:color w:val="E6007E" w:themeColor="accent1"/>
      </w:rPr>
    </w:lvl>
    <w:lvl w:ilvl="7">
      <w:start w:val="1"/>
      <w:numFmt w:val="bullet"/>
      <w:lvlText w:val="–"/>
      <w:lvlJc w:val="left"/>
      <w:pPr>
        <w:tabs>
          <w:tab w:val="num" w:pos="2722"/>
        </w:tabs>
        <w:ind w:left="2722" w:hanging="341"/>
      </w:pPr>
      <w:rPr>
        <w:rFonts w:ascii="Times New Roman" w:hAnsi="Times New Roman" w:cs="Times New Roman" w:hint="default"/>
        <w:color w:val="E6007E" w:themeColor="accent1"/>
      </w:rPr>
    </w:lvl>
    <w:lvl w:ilvl="8">
      <w:start w:val="1"/>
      <w:numFmt w:val="bullet"/>
      <w:lvlText w:val="–"/>
      <w:lvlJc w:val="left"/>
      <w:pPr>
        <w:tabs>
          <w:tab w:val="num" w:pos="3062"/>
        </w:tabs>
        <w:ind w:left="3062" w:hanging="340"/>
      </w:pPr>
      <w:rPr>
        <w:rFonts w:ascii="Times New Roman" w:hAnsi="Times New Roman" w:cs="Times New Roman" w:hint="default"/>
        <w:color w:val="E6007E" w:themeColor="accent1"/>
      </w:rPr>
    </w:lvl>
  </w:abstractNum>
  <w:abstractNum w:abstractNumId="5" w15:restartNumberingAfterBreak="0">
    <w:nsid w:val="28004C60"/>
    <w:multiLevelType w:val="multilevel"/>
    <w:tmpl w:val="04C41E12"/>
    <w:styleLink w:val="StyleBulletedSymbolsymbolBefore063cmHanging063cm"/>
    <w:lvl w:ilvl="0">
      <w:start w:val="1"/>
      <w:numFmt w:val="bullet"/>
      <w:lvlText w:val=""/>
      <w:lvlJc w:val="left"/>
      <w:pPr>
        <w:tabs>
          <w:tab w:val="num" w:pos="340"/>
        </w:tabs>
        <w:ind w:left="340" w:hanging="340"/>
      </w:pPr>
      <w:rPr>
        <w:rFonts w:ascii="Symbol" w:hAnsi="Symbol" w:cs="Times New Roman" w:hint="default"/>
        <w:color w:val="E6007E" w:themeColor="accent1"/>
      </w:rPr>
    </w:lvl>
    <w:lvl w:ilvl="1">
      <w:start w:val="1"/>
      <w:numFmt w:val="bullet"/>
      <w:lvlText w:val="–"/>
      <w:lvlJc w:val="left"/>
      <w:pPr>
        <w:tabs>
          <w:tab w:val="num" w:pos="680"/>
        </w:tabs>
        <w:ind w:left="680" w:hanging="340"/>
      </w:pPr>
      <w:rPr>
        <w:rFonts w:cs="Times New Roman" w:hint="default"/>
        <w:color w:val="E6007E" w:themeColor="accent1"/>
      </w:rPr>
    </w:lvl>
    <w:lvl w:ilvl="2">
      <w:start w:val="1"/>
      <w:numFmt w:val="bullet"/>
      <w:lvlText w:val="–"/>
      <w:lvlJc w:val="left"/>
      <w:pPr>
        <w:tabs>
          <w:tab w:val="num" w:pos="1021"/>
        </w:tabs>
        <w:ind w:left="1021" w:hanging="341"/>
      </w:pPr>
      <w:rPr>
        <w:rFonts w:cs="Times New Roman" w:hint="default"/>
        <w:color w:val="E6007E" w:themeColor="accent1"/>
      </w:rPr>
    </w:lvl>
    <w:lvl w:ilvl="3">
      <w:start w:val="1"/>
      <w:numFmt w:val="bullet"/>
      <w:lvlText w:val="–"/>
      <w:lvlJc w:val="left"/>
      <w:pPr>
        <w:tabs>
          <w:tab w:val="num" w:pos="1361"/>
        </w:tabs>
        <w:ind w:left="1361" w:hanging="340"/>
      </w:pPr>
      <w:rPr>
        <w:rFonts w:cs="Times New Roman" w:hint="default"/>
        <w:color w:val="E6007E" w:themeColor="accent1"/>
      </w:rPr>
    </w:lvl>
    <w:lvl w:ilvl="4">
      <w:start w:val="1"/>
      <w:numFmt w:val="bullet"/>
      <w:lvlText w:val="–"/>
      <w:lvlJc w:val="left"/>
      <w:pPr>
        <w:tabs>
          <w:tab w:val="num" w:pos="1701"/>
        </w:tabs>
        <w:ind w:left="1701" w:hanging="340"/>
      </w:pPr>
      <w:rPr>
        <w:rFonts w:cs="Times New Roman" w:hint="default"/>
        <w:color w:val="E6007E" w:themeColor="accent1"/>
      </w:rPr>
    </w:lvl>
    <w:lvl w:ilvl="5">
      <w:start w:val="1"/>
      <w:numFmt w:val="bullet"/>
      <w:lvlText w:val="–"/>
      <w:lvlJc w:val="left"/>
      <w:pPr>
        <w:tabs>
          <w:tab w:val="num" w:pos="2041"/>
        </w:tabs>
        <w:ind w:left="2041" w:hanging="340"/>
      </w:pPr>
      <w:rPr>
        <w:rFonts w:ascii="Times New Roman" w:hAnsi="Times New Roman" w:cs="Times New Roman" w:hint="default"/>
        <w:color w:val="E6007E" w:themeColor="accent1"/>
      </w:rPr>
    </w:lvl>
    <w:lvl w:ilvl="6">
      <w:start w:val="1"/>
      <w:numFmt w:val="bullet"/>
      <w:lvlText w:val="–"/>
      <w:lvlJc w:val="left"/>
      <w:pPr>
        <w:tabs>
          <w:tab w:val="num" w:pos="2381"/>
        </w:tabs>
        <w:ind w:left="2381" w:hanging="340"/>
      </w:pPr>
      <w:rPr>
        <w:rFonts w:ascii="Times New Roman" w:hAnsi="Times New Roman" w:cs="Times New Roman" w:hint="default"/>
        <w:color w:val="E6007E" w:themeColor="accent1"/>
      </w:rPr>
    </w:lvl>
    <w:lvl w:ilvl="7">
      <w:start w:val="1"/>
      <w:numFmt w:val="bullet"/>
      <w:lvlText w:val="–"/>
      <w:lvlJc w:val="left"/>
      <w:pPr>
        <w:tabs>
          <w:tab w:val="num" w:pos="2722"/>
        </w:tabs>
        <w:ind w:left="2722" w:hanging="341"/>
      </w:pPr>
      <w:rPr>
        <w:rFonts w:ascii="Times New Roman" w:hAnsi="Times New Roman" w:cs="Times New Roman" w:hint="default"/>
        <w:color w:val="E6007E" w:themeColor="accent1"/>
      </w:rPr>
    </w:lvl>
    <w:lvl w:ilvl="8">
      <w:start w:val="1"/>
      <w:numFmt w:val="bullet"/>
      <w:lvlText w:val="–"/>
      <w:lvlJc w:val="left"/>
      <w:pPr>
        <w:tabs>
          <w:tab w:val="num" w:pos="3062"/>
        </w:tabs>
        <w:ind w:left="3062" w:hanging="340"/>
      </w:pPr>
      <w:rPr>
        <w:rFonts w:ascii="Times New Roman" w:hAnsi="Times New Roman" w:cs="Times New Roman" w:hint="default"/>
        <w:color w:val="E6007E" w:themeColor="accent1"/>
      </w:rPr>
    </w:lvl>
  </w:abstractNum>
  <w:abstractNum w:abstractNumId="6" w15:restartNumberingAfterBreak="0">
    <w:nsid w:val="36577016"/>
    <w:multiLevelType w:val="hybridMultilevel"/>
    <w:tmpl w:val="73D2C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E565FA"/>
    <w:multiLevelType w:val="multilevel"/>
    <w:tmpl w:val="D6644C9A"/>
    <w:styleLink w:val="StyleOutlinenumberedSymbolsymbolComplexTimesNewRoman"/>
    <w:lvl w:ilvl="0">
      <w:start w:val="1"/>
      <w:numFmt w:val="bullet"/>
      <w:lvlText w:val=""/>
      <w:lvlJc w:val="left"/>
      <w:pPr>
        <w:tabs>
          <w:tab w:val="num" w:pos="340"/>
        </w:tabs>
        <w:ind w:left="340" w:hanging="340"/>
      </w:pPr>
      <w:rPr>
        <w:rFonts w:ascii="Symbol" w:hAnsi="Symbol" w:cs="Times New Roman" w:hint="default"/>
        <w:color w:val="E6007E" w:themeColor="accent1"/>
      </w:rPr>
    </w:lvl>
    <w:lvl w:ilvl="1">
      <w:start w:val="1"/>
      <w:numFmt w:val="bullet"/>
      <w:lvlText w:val="–"/>
      <w:lvlJc w:val="left"/>
      <w:pPr>
        <w:tabs>
          <w:tab w:val="num" w:pos="680"/>
        </w:tabs>
        <w:ind w:left="680" w:hanging="340"/>
      </w:pPr>
      <w:rPr>
        <w:rFonts w:cs="Times New Roman" w:hint="default"/>
        <w:color w:val="E6007E" w:themeColor="accent1"/>
      </w:rPr>
    </w:lvl>
    <w:lvl w:ilvl="2">
      <w:start w:val="1"/>
      <w:numFmt w:val="bullet"/>
      <w:lvlText w:val="–"/>
      <w:lvlJc w:val="left"/>
      <w:pPr>
        <w:tabs>
          <w:tab w:val="num" w:pos="1021"/>
        </w:tabs>
        <w:ind w:left="1021" w:hanging="341"/>
      </w:pPr>
      <w:rPr>
        <w:rFonts w:cs="Times New Roman" w:hint="default"/>
        <w:color w:val="E6007E" w:themeColor="accent1"/>
      </w:rPr>
    </w:lvl>
    <w:lvl w:ilvl="3">
      <w:start w:val="1"/>
      <w:numFmt w:val="bullet"/>
      <w:lvlText w:val="–"/>
      <w:lvlJc w:val="left"/>
      <w:pPr>
        <w:tabs>
          <w:tab w:val="num" w:pos="1361"/>
        </w:tabs>
        <w:ind w:left="1361" w:hanging="340"/>
      </w:pPr>
      <w:rPr>
        <w:rFonts w:cs="Times New Roman" w:hint="default"/>
        <w:color w:val="E6007E" w:themeColor="accent1"/>
      </w:rPr>
    </w:lvl>
    <w:lvl w:ilvl="4">
      <w:start w:val="1"/>
      <w:numFmt w:val="bullet"/>
      <w:lvlText w:val="–"/>
      <w:lvlJc w:val="left"/>
      <w:pPr>
        <w:tabs>
          <w:tab w:val="num" w:pos="1701"/>
        </w:tabs>
        <w:ind w:left="1701" w:hanging="340"/>
      </w:pPr>
      <w:rPr>
        <w:rFonts w:cs="Times New Roman" w:hint="default"/>
        <w:color w:val="E6007E" w:themeColor="accent1"/>
      </w:rPr>
    </w:lvl>
    <w:lvl w:ilvl="5">
      <w:start w:val="1"/>
      <w:numFmt w:val="bullet"/>
      <w:lvlText w:val="–"/>
      <w:lvlJc w:val="left"/>
      <w:pPr>
        <w:tabs>
          <w:tab w:val="num" w:pos="2041"/>
        </w:tabs>
        <w:ind w:left="2041" w:hanging="340"/>
      </w:pPr>
      <w:rPr>
        <w:rFonts w:ascii="Times New Roman" w:hAnsi="Times New Roman" w:cs="Times New Roman" w:hint="default"/>
        <w:color w:val="E6007E" w:themeColor="accent1"/>
      </w:rPr>
    </w:lvl>
    <w:lvl w:ilvl="6">
      <w:start w:val="1"/>
      <w:numFmt w:val="bullet"/>
      <w:lvlText w:val="–"/>
      <w:lvlJc w:val="left"/>
      <w:pPr>
        <w:tabs>
          <w:tab w:val="num" w:pos="2381"/>
        </w:tabs>
        <w:ind w:left="2381" w:hanging="340"/>
      </w:pPr>
      <w:rPr>
        <w:rFonts w:ascii="Times New Roman" w:hAnsi="Times New Roman" w:cs="Times New Roman" w:hint="default"/>
        <w:color w:val="E6007E" w:themeColor="accent1"/>
      </w:rPr>
    </w:lvl>
    <w:lvl w:ilvl="7">
      <w:start w:val="1"/>
      <w:numFmt w:val="bullet"/>
      <w:lvlText w:val="–"/>
      <w:lvlJc w:val="left"/>
      <w:pPr>
        <w:tabs>
          <w:tab w:val="num" w:pos="2722"/>
        </w:tabs>
        <w:ind w:left="2722" w:hanging="341"/>
      </w:pPr>
      <w:rPr>
        <w:rFonts w:ascii="Times New Roman" w:hAnsi="Times New Roman" w:cs="Times New Roman" w:hint="default"/>
        <w:color w:val="E6007E" w:themeColor="accent1"/>
      </w:rPr>
    </w:lvl>
    <w:lvl w:ilvl="8">
      <w:start w:val="1"/>
      <w:numFmt w:val="bullet"/>
      <w:lvlText w:val="–"/>
      <w:lvlJc w:val="left"/>
      <w:pPr>
        <w:tabs>
          <w:tab w:val="num" w:pos="3062"/>
        </w:tabs>
        <w:ind w:left="3062" w:hanging="340"/>
      </w:pPr>
      <w:rPr>
        <w:rFonts w:ascii="Times New Roman" w:hAnsi="Times New Roman" w:cs="Times New Roman" w:hint="default"/>
        <w:color w:val="E6007E" w:themeColor="accent1"/>
      </w:rPr>
    </w:lvl>
  </w:abstractNum>
  <w:abstractNum w:abstractNumId="8" w15:restartNumberingAfterBreak="0">
    <w:nsid w:val="40C46E16"/>
    <w:multiLevelType w:val="hybridMultilevel"/>
    <w:tmpl w:val="939E7B56"/>
    <w:lvl w:ilvl="0" w:tplc="59F8F88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0744BE"/>
    <w:multiLevelType w:val="multilevel"/>
    <w:tmpl w:val="8C5C0CB4"/>
    <w:lvl w:ilvl="0">
      <w:numFmt w:val="bullet"/>
      <w:pStyle w:val="Bullet1"/>
      <w:lvlText w:val=""/>
      <w:lvlJc w:val="left"/>
      <w:pPr>
        <w:tabs>
          <w:tab w:val="num" w:pos="340"/>
        </w:tabs>
        <w:ind w:left="340" w:hanging="340"/>
      </w:pPr>
      <w:rPr>
        <w:rFonts w:ascii="Symbol" w:hAnsi="Symbol" w:cs="Symbol" w:hint="default"/>
        <w:color w:val="E6007E" w:themeColor="accent1"/>
      </w:rPr>
    </w:lvl>
    <w:lvl w:ilvl="1">
      <w:numFmt w:val="bullet"/>
      <w:pStyle w:val="Bullet2"/>
      <w:lvlText w:val="–"/>
      <w:lvlJc w:val="left"/>
      <w:pPr>
        <w:tabs>
          <w:tab w:val="num" w:pos="680"/>
        </w:tabs>
        <w:ind w:left="680" w:hanging="340"/>
      </w:pPr>
      <w:rPr>
        <w:rFonts w:hint="default"/>
        <w:color w:val="E6007E" w:themeColor="accent1"/>
      </w:rPr>
    </w:lvl>
    <w:lvl w:ilvl="2">
      <w:numFmt w:val="bullet"/>
      <w:pStyle w:val="Bullet3"/>
      <w:lvlText w:val="–"/>
      <w:lvlJc w:val="left"/>
      <w:pPr>
        <w:tabs>
          <w:tab w:val="num" w:pos="1021"/>
        </w:tabs>
        <w:ind w:left="1021" w:hanging="341"/>
      </w:pPr>
      <w:rPr>
        <w:rFonts w:hint="default"/>
        <w:color w:val="E6007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2C14FC3"/>
    <w:multiLevelType w:val="hybridMultilevel"/>
    <w:tmpl w:val="689A7BFA"/>
    <w:lvl w:ilvl="0" w:tplc="93DCD6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2A3490"/>
    <w:multiLevelType w:val="hybridMultilevel"/>
    <w:tmpl w:val="0568CD4A"/>
    <w:lvl w:ilvl="0" w:tplc="5A72633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96A3518"/>
    <w:multiLevelType w:val="multilevel"/>
    <w:tmpl w:val="9E221B18"/>
    <w:lvl w:ilvl="0">
      <w:start w:val="1"/>
      <w:numFmt w:val="decimal"/>
      <w:pStyle w:val="NumBullet1"/>
      <w:lvlText w:val="%1."/>
      <w:lvlJc w:val="left"/>
      <w:pPr>
        <w:tabs>
          <w:tab w:val="num" w:pos="340"/>
        </w:tabs>
        <w:ind w:left="340" w:hanging="340"/>
      </w:pPr>
      <w:rPr>
        <w:rFonts w:hint="default"/>
        <w:color w:val="E6007E" w:themeColor="accent1"/>
      </w:rPr>
    </w:lvl>
    <w:lvl w:ilvl="1">
      <w:start w:val="1"/>
      <w:numFmt w:val="lowerLetter"/>
      <w:pStyle w:val="NumBullet2"/>
      <w:lvlText w:val="%2."/>
      <w:lvlJc w:val="left"/>
      <w:pPr>
        <w:tabs>
          <w:tab w:val="num" w:pos="680"/>
        </w:tabs>
        <w:ind w:left="680" w:hanging="340"/>
      </w:pPr>
      <w:rPr>
        <w:rFonts w:hint="default"/>
        <w:color w:val="E6007E" w:themeColor="accent1"/>
      </w:rPr>
    </w:lvl>
    <w:lvl w:ilvl="2">
      <w:start w:val="1"/>
      <w:numFmt w:val="lowerRoman"/>
      <w:pStyle w:val="NumBullet3"/>
      <w:lvlText w:val="%3."/>
      <w:lvlJc w:val="left"/>
      <w:pPr>
        <w:tabs>
          <w:tab w:val="num" w:pos="1021"/>
        </w:tabs>
        <w:ind w:left="1021" w:hanging="341"/>
      </w:pPr>
      <w:rPr>
        <w:rFonts w:hint="default"/>
        <w:color w:val="E6007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9"/>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9"/>
  </w:num>
  <w:num w:numId="16">
    <w:abstractNumId w:val="9"/>
  </w:num>
  <w:num w:numId="17">
    <w:abstractNumId w:val="9"/>
  </w:num>
  <w:num w:numId="18">
    <w:abstractNumId w:val="12"/>
  </w:num>
  <w:num w:numId="19">
    <w:abstractNumId w:val="9"/>
  </w:num>
  <w:num w:numId="20">
    <w:abstractNumId w:val="0"/>
  </w:num>
  <w:num w:numId="21">
    <w:abstractNumId w:val="8"/>
  </w:num>
  <w:num w:numId="22">
    <w:abstractNumId w:val="10"/>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2B"/>
    <w:rsid w:val="00014DEE"/>
    <w:rsid w:val="000501C8"/>
    <w:rsid w:val="000B6BBC"/>
    <w:rsid w:val="000C1F52"/>
    <w:rsid w:val="000C5D01"/>
    <w:rsid w:val="000D00AA"/>
    <w:rsid w:val="000D37D0"/>
    <w:rsid w:val="00107978"/>
    <w:rsid w:val="0011318A"/>
    <w:rsid w:val="001360C7"/>
    <w:rsid w:val="00142F25"/>
    <w:rsid w:val="001469C3"/>
    <w:rsid w:val="001A2CA4"/>
    <w:rsid w:val="001B2034"/>
    <w:rsid w:val="001C5D2E"/>
    <w:rsid w:val="001E4140"/>
    <w:rsid w:val="001F228F"/>
    <w:rsid w:val="0020024E"/>
    <w:rsid w:val="002078A0"/>
    <w:rsid w:val="00221E8A"/>
    <w:rsid w:val="00247849"/>
    <w:rsid w:val="002502C7"/>
    <w:rsid w:val="002575BE"/>
    <w:rsid w:val="00274AD0"/>
    <w:rsid w:val="002810E4"/>
    <w:rsid w:val="002833BC"/>
    <w:rsid w:val="002A4522"/>
    <w:rsid w:val="002C744E"/>
    <w:rsid w:val="002F5138"/>
    <w:rsid w:val="00305EA1"/>
    <w:rsid w:val="00307279"/>
    <w:rsid w:val="00344270"/>
    <w:rsid w:val="003461EB"/>
    <w:rsid w:val="003A7568"/>
    <w:rsid w:val="003B2030"/>
    <w:rsid w:val="003B6BEC"/>
    <w:rsid w:val="003E4AFE"/>
    <w:rsid w:val="003E4CCA"/>
    <w:rsid w:val="00415A6D"/>
    <w:rsid w:val="00416DA5"/>
    <w:rsid w:val="004754D0"/>
    <w:rsid w:val="004844EB"/>
    <w:rsid w:val="00491AD0"/>
    <w:rsid w:val="004B2743"/>
    <w:rsid w:val="004C744E"/>
    <w:rsid w:val="0050369B"/>
    <w:rsid w:val="00510740"/>
    <w:rsid w:val="00514D95"/>
    <w:rsid w:val="00515490"/>
    <w:rsid w:val="005459AA"/>
    <w:rsid w:val="005525B1"/>
    <w:rsid w:val="00554344"/>
    <w:rsid w:val="00554850"/>
    <w:rsid w:val="005700BC"/>
    <w:rsid w:val="00575B61"/>
    <w:rsid w:val="0058230D"/>
    <w:rsid w:val="005C7080"/>
    <w:rsid w:val="005D641D"/>
    <w:rsid w:val="005F2BEE"/>
    <w:rsid w:val="00600C91"/>
    <w:rsid w:val="006459D2"/>
    <w:rsid w:val="00681173"/>
    <w:rsid w:val="00690DE0"/>
    <w:rsid w:val="006A3358"/>
    <w:rsid w:val="006A4538"/>
    <w:rsid w:val="006E2D4A"/>
    <w:rsid w:val="006F0609"/>
    <w:rsid w:val="0070601C"/>
    <w:rsid w:val="007265D5"/>
    <w:rsid w:val="00765F6E"/>
    <w:rsid w:val="00766525"/>
    <w:rsid w:val="00770CF4"/>
    <w:rsid w:val="007849F3"/>
    <w:rsid w:val="00795217"/>
    <w:rsid w:val="00796C31"/>
    <w:rsid w:val="007A254E"/>
    <w:rsid w:val="007D7879"/>
    <w:rsid w:val="007E77BF"/>
    <w:rsid w:val="007F426C"/>
    <w:rsid w:val="008007F9"/>
    <w:rsid w:val="00803610"/>
    <w:rsid w:val="00815A33"/>
    <w:rsid w:val="00852544"/>
    <w:rsid w:val="00853D65"/>
    <w:rsid w:val="00856A19"/>
    <w:rsid w:val="00866450"/>
    <w:rsid w:val="00892C85"/>
    <w:rsid w:val="008D1DAE"/>
    <w:rsid w:val="00907DF6"/>
    <w:rsid w:val="0092708E"/>
    <w:rsid w:val="00931E4E"/>
    <w:rsid w:val="00932DED"/>
    <w:rsid w:val="00933054"/>
    <w:rsid w:val="00955709"/>
    <w:rsid w:val="00962DDD"/>
    <w:rsid w:val="009717E2"/>
    <w:rsid w:val="00976F21"/>
    <w:rsid w:val="00983FC2"/>
    <w:rsid w:val="00984194"/>
    <w:rsid w:val="00984D61"/>
    <w:rsid w:val="00995E19"/>
    <w:rsid w:val="009A6450"/>
    <w:rsid w:val="009C09FA"/>
    <w:rsid w:val="009F2B2B"/>
    <w:rsid w:val="00A16478"/>
    <w:rsid w:val="00A27C50"/>
    <w:rsid w:val="00A40037"/>
    <w:rsid w:val="00A64DA7"/>
    <w:rsid w:val="00A73534"/>
    <w:rsid w:val="00A83245"/>
    <w:rsid w:val="00A91B50"/>
    <w:rsid w:val="00AA1700"/>
    <w:rsid w:val="00AD353D"/>
    <w:rsid w:val="00AD7D34"/>
    <w:rsid w:val="00AE1499"/>
    <w:rsid w:val="00AE45C5"/>
    <w:rsid w:val="00AE6D65"/>
    <w:rsid w:val="00B1158F"/>
    <w:rsid w:val="00B374CC"/>
    <w:rsid w:val="00B651FC"/>
    <w:rsid w:val="00B74992"/>
    <w:rsid w:val="00BB32B3"/>
    <w:rsid w:val="00BB7B34"/>
    <w:rsid w:val="00C04CBF"/>
    <w:rsid w:val="00C41689"/>
    <w:rsid w:val="00C45093"/>
    <w:rsid w:val="00C76F90"/>
    <w:rsid w:val="00C85139"/>
    <w:rsid w:val="00CC4F94"/>
    <w:rsid w:val="00CF67DA"/>
    <w:rsid w:val="00D02DA6"/>
    <w:rsid w:val="00D04C86"/>
    <w:rsid w:val="00D20F89"/>
    <w:rsid w:val="00D32AC3"/>
    <w:rsid w:val="00D33A29"/>
    <w:rsid w:val="00D404B7"/>
    <w:rsid w:val="00D44483"/>
    <w:rsid w:val="00D675D7"/>
    <w:rsid w:val="00DA66AF"/>
    <w:rsid w:val="00DB61D6"/>
    <w:rsid w:val="00DC00C4"/>
    <w:rsid w:val="00DC182A"/>
    <w:rsid w:val="00DE03F8"/>
    <w:rsid w:val="00DE6FF5"/>
    <w:rsid w:val="00E23135"/>
    <w:rsid w:val="00E242C9"/>
    <w:rsid w:val="00E41A13"/>
    <w:rsid w:val="00E713AC"/>
    <w:rsid w:val="00EA2B21"/>
    <w:rsid w:val="00EB0FCE"/>
    <w:rsid w:val="00EF06AC"/>
    <w:rsid w:val="00F32691"/>
    <w:rsid w:val="00F353B6"/>
    <w:rsid w:val="00F366FC"/>
    <w:rsid w:val="00F41EAE"/>
    <w:rsid w:val="00F448BC"/>
    <w:rsid w:val="00F5448D"/>
    <w:rsid w:val="00F651DB"/>
    <w:rsid w:val="00F70D4E"/>
    <w:rsid w:val="00F9233F"/>
    <w:rsid w:val="00FB459F"/>
    <w:rsid w:val="00FE4050"/>
    <w:rsid w:val="00FF6B3F"/>
    <w:rsid w:val="00FF6F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1D875D"/>
  <w15:docId w15:val="{9BCB059B-4D2B-4F47-A065-0E6162B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font672"/>
        <w:color w:val="000000" w:themeColor="text1"/>
        <w:sz w:val="24"/>
        <w:lang w:val="en-GB" w:eastAsia="en-US" w:bidi="ar-SA"/>
      </w:rPr>
    </w:rPrDefault>
    <w:pPrDefault>
      <w:pPr>
        <w:spacing w:before="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C91"/>
    <w:pPr>
      <w:spacing w:before="0" w:after="200" w:line="240" w:lineRule="auto"/>
    </w:pPr>
    <w:rPr>
      <w:rFonts w:cstheme="minorBidi"/>
      <w:color w:val="auto"/>
      <w:szCs w:val="22"/>
    </w:rPr>
  </w:style>
  <w:style w:type="paragraph" w:styleId="Heading1">
    <w:name w:val="heading 1"/>
    <w:basedOn w:val="Normal"/>
    <w:next w:val="Normal"/>
    <w:link w:val="Heading1Char"/>
    <w:autoRedefine/>
    <w:uiPriority w:val="9"/>
    <w:qFormat/>
    <w:rsid w:val="000C1F52"/>
    <w:pPr>
      <w:keepNext/>
      <w:keepLines/>
      <w:spacing w:before="240" w:after="360"/>
      <w:outlineLvl w:val="0"/>
    </w:pPr>
    <w:rPr>
      <w:rFonts w:asciiTheme="majorHAnsi" w:eastAsiaTheme="majorEastAsia" w:hAnsiTheme="majorHAnsi" w:cstheme="majorBidi"/>
      <w:b/>
      <w:color w:val="E6007E" w:themeColor="accent1"/>
      <w:sz w:val="36"/>
      <w:szCs w:val="32"/>
    </w:rPr>
  </w:style>
  <w:style w:type="paragraph" w:styleId="Heading2">
    <w:name w:val="heading 2"/>
    <w:basedOn w:val="Normal"/>
    <w:next w:val="Normal"/>
    <w:link w:val="Heading2Char"/>
    <w:autoRedefine/>
    <w:uiPriority w:val="9"/>
    <w:qFormat/>
    <w:rsid w:val="000C1F52"/>
    <w:pPr>
      <w:keepNext/>
      <w:keepLines/>
      <w:spacing w:before="120" w:after="240"/>
      <w:outlineLvl w:val="1"/>
    </w:pPr>
    <w:rPr>
      <w:rFonts w:asciiTheme="majorHAnsi" w:eastAsiaTheme="majorEastAsia" w:hAnsiTheme="majorHAnsi" w:cstheme="majorBidi"/>
      <w:b/>
      <w:color w:val="646363" w:themeColor="text2"/>
      <w:sz w:val="28"/>
      <w:szCs w:val="26"/>
    </w:rPr>
  </w:style>
  <w:style w:type="paragraph" w:styleId="Heading3">
    <w:name w:val="heading 3"/>
    <w:basedOn w:val="Normal"/>
    <w:next w:val="Normal"/>
    <w:link w:val="Heading3Char"/>
    <w:autoRedefine/>
    <w:uiPriority w:val="9"/>
    <w:qFormat/>
    <w:rsid w:val="000C1F52"/>
    <w:pPr>
      <w:keepNext/>
      <w:keepLines/>
      <w:spacing w:before="240" w:after="120"/>
      <w:outlineLvl w:val="2"/>
    </w:pPr>
    <w:rPr>
      <w:rFonts w:asciiTheme="majorHAnsi" w:eastAsiaTheme="majorEastAsia" w:hAnsiTheme="majorHAnsi" w:cstheme="majorBidi"/>
      <w:color w:val="E6007E" w:themeColor="accen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33"/>
    <w:qFormat/>
    <w:rsid w:val="00795217"/>
    <w:pPr>
      <w:spacing w:before="0"/>
    </w:pPr>
    <w:rPr>
      <w:rFonts w:cs="Arial"/>
    </w:rPr>
  </w:style>
  <w:style w:type="paragraph" w:styleId="Header">
    <w:name w:val="header"/>
    <w:basedOn w:val="Normal"/>
    <w:link w:val="HeaderChar"/>
    <w:uiPriority w:val="99"/>
    <w:semiHidden/>
    <w:rsid w:val="00FF6B3F"/>
    <w:rPr>
      <w:sz w:val="16"/>
    </w:rPr>
  </w:style>
  <w:style w:type="character" w:customStyle="1" w:styleId="HeaderChar">
    <w:name w:val="Header Char"/>
    <w:basedOn w:val="DefaultParagraphFont"/>
    <w:link w:val="Header"/>
    <w:uiPriority w:val="99"/>
    <w:semiHidden/>
    <w:rsid w:val="00FF6B3F"/>
    <w:rPr>
      <w:sz w:val="16"/>
    </w:rPr>
  </w:style>
  <w:style w:type="paragraph" w:styleId="Footer">
    <w:name w:val="footer"/>
    <w:basedOn w:val="Normal"/>
    <w:link w:val="FooterChar"/>
    <w:uiPriority w:val="99"/>
    <w:semiHidden/>
    <w:rsid w:val="005700BC"/>
    <w:rPr>
      <w:color w:val="646363" w:themeColor="text2"/>
      <w:sz w:val="12"/>
    </w:rPr>
  </w:style>
  <w:style w:type="character" w:customStyle="1" w:styleId="FooterChar">
    <w:name w:val="Footer Char"/>
    <w:basedOn w:val="DefaultParagraphFont"/>
    <w:link w:val="Footer"/>
    <w:uiPriority w:val="99"/>
    <w:semiHidden/>
    <w:rsid w:val="00FF6B3F"/>
    <w:rPr>
      <w:color w:val="646363" w:themeColor="text2"/>
      <w:sz w:val="12"/>
    </w:rPr>
  </w:style>
  <w:style w:type="table" w:styleId="TableGrid">
    <w:name w:val="Table Grid"/>
    <w:basedOn w:val="TableNormal"/>
    <w:uiPriority w:val="39"/>
    <w:rsid w:val="006A33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Spacing"/>
    <w:link w:val="DateChar"/>
    <w:uiPriority w:val="99"/>
    <w:semiHidden/>
    <w:rsid w:val="00AD353D"/>
    <w:pPr>
      <w:jc w:val="right"/>
    </w:pPr>
  </w:style>
  <w:style w:type="paragraph" w:styleId="ListParagraph">
    <w:name w:val="List Paragraph"/>
    <w:basedOn w:val="Normal"/>
    <w:uiPriority w:val="34"/>
    <w:qFormat/>
    <w:rsid w:val="00221E8A"/>
    <w:pPr>
      <w:spacing w:before="60"/>
    </w:pPr>
  </w:style>
  <w:style w:type="numbering" w:customStyle="1" w:styleId="StyleBulletedSymbolsymbolBefore063cmHanging063cm">
    <w:name w:val="Style Bulleted Symbol (symbol) Before:  0.63 cm Hanging:  0.63 cm"/>
    <w:basedOn w:val="NoList"/>
    <w:rsid w:val="00416DA5"/>
    <w:pPr>
      <w:numPr>
        <w:numId w:val="1"/>
      </w:numPr>
    </w:pPr>
  </w:style>
  <w:style w:type="numbering" w:customStyle="1" w:styleId="StyleOutlinenumberedSymbolsymbolComplexTimesNewRoman">
    <w:name w:val="Style Outline numbered Symbol (symbol) (Complex) Times New Roman..."/>
    <w:basedOn w:val="NoList"/>
    <w:rsid w:val="00416DA5"/>
    <w:pPr>
      <w:numPr>
        <w:numId w:val="2"/>
      </w:numPr>
    </w:pPr>
  </w:style>
  <w:style w:type="numbering" w:customStyle="1" w:styleId="StyleNumberedBefore063cmHanging063cm">
    <w:name w:val="Style Numbered Before:  0.63 cm Hanging:  0.63 cm"/>
    <w:basedOn w:val="NoList"/>
    <w:rsid w:val="00416DA5"/>
    <w:pPr>
      <w:numPr>
        <w:numId w:val="3"/>
      </w:numPr>
    </w:pPr>
  </w:style>
  <w:style w:type="numbering" w:customStyle="1" w:styleId="StyleNumberedBefore063cmHanging063cm1">
    <w:name w:val="Style Numbered Before:  0.63 cm Hanging:  0.63 cm1"/>
    <w:basedOn w:val="NoList"/>
    <w:rsid w:val="00416DA5"/>
    <w:pPr>
      <w:numPr>
        <w:numId w:val="4"/>
      </w:numPr>
    </w:pPr>
  </w:style>
  <w:style w:type="numbering" w:customStyle="1" w:styleId="StyleOutlinenumberedSymbolsymbolComplexTimesNewRoman1">
    <w:name w:val="Style Outline numbered Symbol (symbol) (Complex) Times New Roman...1"/>
    <w:basedOn w:val="NoList"/>
    <w:rsid w:val="005459AA"/>
    <w:pPr>
      <w:numPr>
        <w:numId w:val="5"/>
      </w:numPr>
    </w:pPr>
  </w:style>
  <w:style w:type="numbering" w:customStyle="1" w:styleId="BITC-Bullets">
    <w:name w:val="BITC-Bullets"/>
    <w:basedOn w:val="NoList"/>
    <w:rsid w:val="00A91B50"/>
    <w:pPr>
      <w:numPr>
        <w:numId w:val="6"/>
      </w:numPr>
    </w:pPr>
  </w:style>
  <w:style w:type="character" w:customStyle="1" w:styleId="Heading1Char">
    <w:name w:val="Heading 1 Char"/>
    <w:basedOn w:val="DefaultParagraphFont"/>
    <w:link w:val="Heading1"/>
    <w:uiPriority w:val="9"/>
    <w:rsid w:val="000C1F52"/>
    <w:rPr>
      <w:rFonts w:asciiTheme="majorHAnsi" w:eastAsiaTheme="majorEastAsia" w:hAnsiTheme="majorHAnsi" w:cstheme="majorBidi"/>
      <w:b/>
      <w:color w:val="E6007E" w:themeColor="accent1"/>
      <w:sz w:val="36"/>
      <w:szCs w:val="32"/>
    </w:rPr>
  </w:style>
  <w:style w:type="character" w:customStyle="1" w:styleId="Heading2Char">
    <w:name w:val="Heading 2 Char"/>
    <w:basedOn w:val="DefaultParagraphFont"/>
    <w:link w:val="Heading2"/>
    <w:uiPriority w:val="9"/>
    <w:rsid w:val="000C1F52"/>
    <w:rPr>
      <w:rFonts w:asciiTheme="majorHAnsi" w:eastAsiaTheme="majorEastAsia" w:hAnsiTheme="majorHAnsi" w:cstheme="majorBidi"/>
      <w:b/>
      <w:color w:val="646363" w:themeColor="text2"/>
      <w:sz w:val="28"/>
      <w:szCs w:val="26"/>
    </w:rPr>
  </w:style>
  <w:style w:type="character" w:customStyle="1" w:styleId="Heading3Char">
    <w:name w:val="Heading 3 Char"/>
    <w:basedOn w:val="DefaultParagraphFont"/>
    <w:link w:val="Heading3"/>
    <w:uiPriority w:val="9"/>
    <w:rsid w:val="000C1F52"/>
    <w:rPr>
      <w:rFonts w:asciiTheme="majorHAnsi" w:eastAsiaTheme="majorEastAsia" w:hAnsiTheme="majorHAnsi" w:cstheme="majorBidi"/>
      <w:color w:val="E6007E" w:themeColor="accent1"/>
      <w:szCs w:val="24"/>
    </w:rPr>
  </w:style>
  <w:style w:type="character" w:styleId="Hyperlink">
    <w:name w:val="Hyperlink"/>
    <w:basedOn w:val="DefaultParagraphFont"/>
    <w:uiPriority w:val="99"/>
    <w:semiHidden/>
    <w:rsid w:val="00EA2B21"/>
    <w:rPr>
      <w:color w:val="003E66" w:themeColor="hyperlink"/>
      <w:u w:val="none"/>
    </w:rPr>
  </w:style>
  <w:style w:type="table" w:customStyle="1" w:styleId="BITC-Table">
    <w:name w:val="BITC-Table"/>
    <w:basedOn w:val="TableNormal"/>
    <w:uiPriority w:val="99"/>
    <w:rsid w:val="00795217"/>
    <w:pPr>
      <w:spacing w:before="0"/>
    </w:pPr>
    <w:tblPr>
      <w:tblStyleRowBandSize w:val="1"/>
      <w:tblBorders>
        <w:top w:val="single" w:sz="2" w:space="0" w:color="E6007E" w:themeColor="accent1"/>
        <w:bottom w:val="single" w:sz="2" w:space="0" w:color="E6007E" w:themeColor="accent1"/>
        <w:insideH w:val="single" w:sz="2" w:space="0" w:color="E6E6E6" w:themeColor="background2"/>
      </w:tblBorders>
    </w:tblPr>
    <w:tblStylePr w:type="firstRow">
      <w:rPr>
        <w:b/>
        <w:color w:val="E6007E" w:themeColor="accent1"/>
      </w:rPr>
      <w:tblPr/>
      <w:trPr>
        <w:tblHeader/>
      </w:trPr>
      <w:tcPr>
        <w:tcBorders>
          <w:top w:val="single" w:sz="2" w:space="0" w:color="E6007E" w:themeColor="accent1"/>
          <w:left w:val="nil"/>
          <w:bottom w:val="single" w:sz="2" w:space="0" w:color="E6007E" w:themeColor="accent1"/>
          <w:right w:val="nil"/>
          <w:insideH w:val="nil"/>
          <w:insideV w:val="nil"/>
          <w:tl2br w:val="nil"/>
          <w:tr2bl w:val="nil"/>
        </w:tcBorders>
      </w:tcPr>
    </w:tblStylePr>
    <w:tblStylePr w:type="firstCol">
      <w:rPr>
        <w:color w:val="E6007E" w:themeColor="accent1"/>
      </w:rPr>
    </w:tblStylePr>
    <w:tblStylePr w:type="band2Horz">
      <w:tblPr/>
      <w:tcPr>
        <w:shd w:val="clear" w:color="auto" w:fill="E6E6E6" w:themeFill="background2"/>
      </w:tcPr>
    </w:tblStylePr>
  </w:style>
  <w:style w:type="character" w:customStyle="1" w:styleId="DateChar">
    <w:name w:val="Date Char"/>
    <w:basedOn w:val="DefaultParagraphFont"/>
    <w:link w:val="Date"/>
    <w:uiPriority w:val="99"/>
    <w:semiHidden/>
    <w:rsid w:val="00344270"/>
    <w:rPr>
      <w:rFonts w:cs="Arial"/>
    </w:rPr>
  </w:style>
  <w:style w:type="paragraph" w:customStyle="1" w:styleId="Spacer">
    <w:name w:val="~Spacer"/>
    <w:basedOn w:val="NoSpacing"/>
    <w:uiPriority w:val="33"/>
    <w:semiHidden/>
    <w:rsid w:val="00EA2B21"/>
    <w:pPr>
      <w:spacing w:line="240" w:lineRule="auto"/>
    </w:pPr>
    <w:rPr>
      <w:rFonts w:ascii="Arial" w:hAnsi="Arial"/>
      <w:sz w:val="2"/>
    </w:rPr>
  </w:style>
  <w:style w:type="character" w:styleId="FollowedHyperlink">
    <w:name w:val="FollowedHyperlink"/>
    <w:basedOn w:val="DefaultParagraphFont"/>
    <w:uiPriority w:val="99"/>
    <w:semiHidden/>
    <w:rsid w:val="00EA2B21"/>
    <w:rPr>
      <w:color w:val="003E66" w:themeColor="followedHyperlink"/>
      <w:u w:val="none"/>
    </w:rPr>
  </w:style>
  <w:style w:type="paragraph" w:styleId="Title">
    <w:name w:val="Title"/>
    <w:basedOn w:val="Normal"/>
    <w:next w:val="Normal"/>
    <w:link w:val="TitleChar"/>
    <w:uiPriority w:val="10"/>
    <w:semiHidden/>
    <w:qFormat/>
    <w:rsid w:val="00FF6B3F"/>
    <w:pPr>
      <w:spacing w:before="240" w:after="120"/>
      <w:contextualSpacing/>
    </w:pPr>
    <w:rPr>
      <w:rFonts w:asciiTheme="majorHAnsi" w:eastAsiaTheme="majorEastAsia" w:hAnsiTheme="majorHAnsi" w:cstheme="majorBidi"/>
      <w:b/>
      <w:color w:val="E6007E" w:themeColor="accent1"/>
      <w:spacing w:val="-10"/>
      <w:kern w:val="28"/>
      <w:sz w:val="56"/>
      <w:szCs w:val="56"/>
    </w:rPr>
  </w:style>
  <w:style w:type="character" w:customStyle="1" w:styleId="TitleChar">
    <w:name w:val="Title Char"/>
    <w:basedOn w:val="DefaultParagraphFont"/>
    <w:link w:val="Title"/>
    <w:uiPriority w:val="10"/>
    <w:semiHidden/>
    <w:rsid w:val="00344270"/>
    <w:rPr>
      <w:rFonts w:asciiTheme="majorHAnsi" w:eastAsiaTheme="majorEastAsia" w:hAnsiTheme="majorHAnsi" w:cstheme="majorBidi"/>
      <w:b/>
      <w:color w:val="E6007E" w:themeColor="accent1"/>
      <w:spacing w:val="-10"/>
      <w:kern w:val="28"/>
      <w:sz w:val="56"/>
      <w:szCs w:val="56"/>
    </w:rPr>
  </w:style>
  <w:style w:type="paragraph" w:customStyle="1" w:styleId="Bullet1">
    <w:name w:val="Bullet1"/>
    <w:basedOn w:val="Normal"/>
    <w:autoRedefine/>
    <w:uiPriority w:val="1"/>
    <w:qFormat/>
    <w:rsid w:val="000C1F52"/>
    <w:pPr>
      <w:numPr>
        <w:numId w:val="19"/>
      </w:numPr>
      <w:spacing w:before="240" w:after="240"/>
      <w:contextualSpacing/>
    </w:pPr>
    <w:rPr>
      <w:rFonts w:eastAsia="Calibri" w:cs="Arial"/>
    </w:rPr>
  </w:style>
  <w:style w:type="paragraph" w:customStyle="1" w:styleId="Bullet2">
    <w:name w:val="Bullet2"/>
    <w:basedOn w:val="Normal"/>
    <w:uiPriority w:val="1"/>
    <w:rsid w:val="000C1F52"/>
    <w:pPr>
      <w:numPr>
        <w:ilvl w:val="1"/>
        <w:numId w:val="19"/>
      </w:numPr>
      <w:spacing w:before="60"/>
    </w:pPr>
    <w:rPr>
      <w:rFonts w:cs="Arial"/>
    </w:rPr>
  </w:style>
  <w:style w:type="paragraph" w:customStyle="1" w:styleId="Bullet3">
    <w:name w:val="Bullet3"/>
    <w:basedOn w:val="Normal"/>
    <w:uiPriority w:val="1"/>
    <w:rsid w:val="000C1F52"/>
    <w:pPr>
      <w:numPr>
        <w:ilvl w:val="2"/>
        <w:numId w:val="19"/>
      </w:numPr>
      <w:spacing w:before="60"/>
    </w:pPr>
    <w:rPr>
      <w:rFonts w:cs="Arial"/>
    </w:rPr>
  </w:style>
  <w:style w:type="paragraph" w:customStyle="1" w:styleId="NumBullet1">
    <w:name w:val="NumBullet1"/>
    <w:basedOn w:val="Normal"/>
    <w:autoRedefine/>
    <w:uiPriority w:val="1"/>
    <w:qFormat/>
    <w:rsid w:val="000C1F52"/>
    <w:pPr>
      <w:numPr>
        <w:numId w:val="18"/>
      </w:numPr>
      <w:spacing w:before="120" w:after="240"/>
      <w:contextualSpacing/>
    </w:pPr>
    <w:rPr>
      <w:rFonts w:cs="Arial"/>
    </w:rPr>
  </w:style>
  <w:style w:type="paragraph" w:customStyle="1" w:styleId="NumBullet2">
    <w:name w:val="NumBullet2"/>
    <w:basedOn w:val="Normal"/>
    <w:uiPriority w:val="1"/>
    <w:rsid w:val="000C1F52"/>
    <w:pPr>
      <w:numPr>
        <w:ilvl w:val="1"/>
        <w:numId w:val="18"/>
      </w:numPr>
      <w:spacing w:before="60"/>
    </w:pPr>
    <w:rPr>
      <w:rFonts w:cs="Arial"/>
    </w:rPr>
  </w:style>
  <w:style w:type="paragraph" w:customStyle="1" w:styleId="NumBullet3">
    <w:name w:val="NumBullet3"/>
    <w:basedOn w:val="Normal"/>
    <w:uiPriority w:val="1"/>
    <w:rsid w:val="000C1F52"/>
    <w:pPr>
      <w:numPr>
        <w:ilvl w:val="2"/>
        <w:numId w:val="18"/>
      </w:numPr>
      <w:spacing w:before="60"/>
      <w:jc w:val="both"/>
    </w:pPr>
    <w:rPr>
      <w:rFonts w:cs="Arial"/>
    </w:rPr>
  </w:style>
  <w:style w:type="paragraph" w:styleId="BalloonText">
    <w:name w:val="Balloon Text"/>
    <w:basedOn w:val="Normal"/>
    <w:link w:val="BalloonTextChar"/>
    <w:uiPriority w:val="99"/>
    <w:semiHidden/>
    <w:unhideWhenUsed/>
    <w:rsid w:val="00D675D7"/>
    <w:rPr>
      <w:rFonts w:ascii="Tahoma" w:hAnsi="Tahoma" w:cs="Tahoma"/>
      <w:sz w:val="16"/>
      <w:szCs w:val="16"/>
    </w:rPr>
  </w:style>
  <w:style w:type="character" w:customStyle="1" w:styleId="BalloonTextChar">
    <w:name w:val="Balloon Text Char"/>
    <w:basedOn w:val="DefaultParagraphFont"/>
    <w:link w:val="BalloonText"/>
    <w:uiPriority w:val="99"/>
    <w:semiHidden/>
    <w:rsid w:val="00D675D7"/>
    <w:rPr>
      <w:rFonts w:ascii="Tahoma" w:hAnsi="Tahoma" w:cs="Tahoma"/>
      <w:sz w:val="16"/>
      <w:szCs w:val="16"/>
    </w:rPr>
  </w:style>
  <w:style w:type="character" w:customStyle="1" w:styleId="UnresolvedMention1">
    <w:name w:val="Unresolved Mention1"/>
    <w:basedOn w:val="DefaultParagraphFont"/>
    <w:uiPriority w:val="99"/>
    <w:semiHidden/>
    <w:unhideWhenUsed/>
    <w:rsid w:val="00554850"/>
    <w:rPr>
      <w:color w:val="808080"/>
      <w:shd w:val="clear" w:color="auto" w:fill="E6E6E6"/>
    </w:rPr>
  </w:style>
  <w:style w:type="character" w:styleId="CommentReference">
    <w:name w:val="annotation reference"/>
    <w:basedOn w:val="DefaultParagraphFont"/>
    <w:uiPriority w:val="99"/>
    <w:semiHidden/>
    <w:unhideWhenUsed/>
    <w:rsid w:val="00247849"/>
    <w:rPr>
      <w:sz w:val="16"/>
      <w:szCs w:val="16"/>
    </w:rPr>
  </w:style>
  <w:style w:type="paragraph" w:styleId="CommentText">
    <w:name w:val="annotation text"/>
    <w:basedOn w:val="Normal"/>
    <w:link w:val="CommentTextChar"/>
    <w:uiPriority w:val="99"/>
    <w:semiHidden/>
    <w:unhideWhenUsed/>
    <w:rsid w:val="00247849"/>
    <w:rPr>
      <w:sz w:val="20"/>
      <w:szCs w:val="20"/>
    </w:rPr>
  </w:style>
  <w:style w:type="character" w:customStyle="1" w:styleId="CommentTextChar">
    <w:name w:val="Comment Text Char"/>
    <w:basedOn w:val="DefaultParagraphFont"/>
    <w:link w:val="CommentText"/>
    <w:uiPriority w:val="99"/>
    <w:semiHidden/>
    <w:rsid w:val="00247849"/>
    <w:rPr>
      <w:rFonts w:cstheme="minorBidi"/>
      <w:color w:val="auto"/>
      <w:sz w:val="20"/>
    </w:rPr>
  </w:style>
  <w:style w:type="paragraph" w:styleId="CommentSubject">
    <w:name w:val="annotation subject"/>
    <w:basedOn w:val="CommentText"/>
    <w:next w:val="CommentText"/>
    <w:link w:val="CommentSubjectChar"/>
    <w:uiPriority w:val="99"/>
    <w:semiHidden/>
    <w:unhideWhenUsed/>
    <w:rsid w:val="00247849"/>
    <w:rPr>
      <w:b/>
      <w:bCs/>
    </w:rPr>
  </w:style>
  <w:style w:type="character" w:customStyle="1" w:styleId="CommentSubjectChar">
    <w:name w:val="Comment Subject Char"/>
    <w:basedOn w:val="CommentTextChar"/>
    <w:link w:val="CommentSubject"/>
    <w:uiPriority w:val="99"/>
    <w:semiHidden/>
    <w:rsid w:val="00247849"/>
    <w:rPr>
      <w:rFonts w:cstheme="minorBidi"/>
      <w:b/>
      <w:bCs/>
      <w:color w:val="auto"/>
      <w:sz w:val="20"/>
    </w:rPr>
  </w:style>
  <w:style w:type="character" w:styleId="UnresolvedMention">
    <w:name w:val="Unresolved Mention"/>
    <w:basedOn w:val="DefaultParagraphFont"/>
    <w:uiPriority w:val="99"/>
    <w:semiHidden/>
    <w:unhideWhenUsed/>
    <w:rsid w:val="00CC4F94"/>
    <w:rPr>
      <w:color w:val="808080"/>
      <w:shd w:val="clear" w:color="auto" w:fill="E6E6E6"/>
    </w:rPr>
  </w:style>
  <w:style w:type="paragraph" w:styleId="Quote">
    <w:name w:val="Quote"/>
    <w:basedOn w:val="Normal"/>
    <w:next w:val="Normal"/>
    <w:link w:val="QuoteChar"/>
    <w:uiPriority w:val="29"/>
    <w:qFormat/>
    <w:rsid w:val="003B6BEC"/>
    <w:pPr>
      <w:spacing w:before="200" w:after="160"/>
      <w:ind w:left="864" w:right="864"/>
    </w:pPr>
    <w:rPr>
      <w:i/>
      <w:iCs/>
      <w:color w:val="646363"/>
    </w:rPr>
  </w:style>
  <w:style w:type="character" w:customStyle="1" w:styleId="QuoteChar">
    <w:name w:val="Quote Char"/>
    <w:basedOn w:val="DefaultParagraphFont"/>
    <w:link w:val="Quote"/>
    <w:uiPriority w:val="29"/>
    <w:rsid w:val="003B6BEC"/>
    <w:rPr>
      <w:rFonts w:cstheme="minorBidi"/>
      <w:i/>
      <w:iCs/>
      <w:color w:val="64636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76495">
      <w:bodyDiv w:val="1"/>
      <w:marLeft w:val="0"/>
      <w:marRight w:val="0"/>
      <w:marTop w:val="0"/>
      <w:marBottom w:val="0"/>
      <w:divBdr>
        <w:top w:val="none" w:sz="0" w:space="0" w:color="auto"/>
        <w:left w:val="none" w:sz="0" w:space="0" w:color="auto"/>
        <w:bottom w:val="none" w:sz="0" w:space="0" w:color="auto"/>
        <w:right w:val="none" w:sz="0" w:space="0" w:color="auto"/>
      </w:divBdr>
      <w:divsChild>
        <w:div w:id="1140541197">
          <w:marLeft w:val="0"/>
          <w:marRight w:val="0"/>
          <w:marTop w:val="0"/>
          <w:marBottom w:val="0"/>
          <w:divBdr>
            <w:top w:val="none" w:sz="0" w:space="0" w:color="auto"/>
            <w:left w:val="none" w:sz="0" w:space="0" w:color="auto"/>
            <w:bottom w:val="none" w:sz="0" w:space="0" w:color="auto"/>
            <w:right w:val="none" w:sz="0" w:space="0" w:color="auto"/>
          </w:divBdr>
        </w:div>
        <w:div w:id="1658148515">
          <w:marLeft w:val="0"/>
          <w:marRight w:val="0"/>
          <w:marTop w:val="0"/>
          <w:marBottom w:val="0"/>
          <w:divBdr>
            <w:top w:val="none" w:sz="0" w:space="0" w:color="auto"/>
            <w:left w:val="none" w:sz="0" w:space="0" w:color="auto"/>
            <w:bottom w:val="none" w:sz="0" w:space="0" w:color="auto"/>
            <w:right w:val="none" w:sz="0" w:space="0" w:color="auto"/>
          </w:divBdr>
        </w:div>
        <w:div w:id="1411195364">
          <w:marLeft w:val="0"/>
          <w:marRight w:val="0"/>
          <w:marTop w:val="0"/>
          <w:marBottom w:val="0"/>
          <w:divBdr>
            <w:top w:val="none" w:sz="0" w:space="0" w:color="auto"/>
            <w:left w:val="none" w:sz="0" w:space="0" w:color="auto"/>
            <w:bottom w:val="none" w:sz="0" w:space="0" w:color="auto"/>
            <w:right w:val="none" w:sz="0" w:space="0" w:color="auto"/>
          </w:divBdr>
        </w:div>
      </w:divsChild>
    </w:div>
    <w:div w:id="876426487">
      <w:bodyDiv w:val="1"/>
      <w:marLeft w:val="0"/>
      <w:marRight w:val="0"/>
      <w:marTop w:val="0"/>
      <w:marBottom w:val="0"/>
      <w:divBdr>
        <w:top w:val="none" w:sz="0" w:space="0" w:color="auto"/>
        <w:left w:val="none" w:sz="0" w:space="0" w:color="auto"/>
        <w:bottom w:val="none" w:sz="0" w:space="0" w:color="auto"/>
        <w:right w:val="none" w:sz="0" w:space="0" w:color="auto"/>
      </w:divBdr>
      <w:divsChild>
        <w:div w:id="761418043">
          <w:marLeft w:val="0"/>
          <w:marRight w:val="0"/>
          <w:marTop w:val="0"/>
          <w:marBottom w:val="0"/>
          <w:divBdr>
            <w:top w:val="none" w:sz="0" w:space="0" w:color="auto"/>
            <w:left w:val="none" w:sz="0" w:space="0" w:color="auto"/>
            <w:bottom w:val="none" w:sz="0" w:space="0" w:color="auto"/>
            <w:right w:val="none" w:sz="0" w:space="0" w:color="auto"/>
          </w:divBdr>
        </w:div>
        <w:div w:id="1547252280">
          <w:marLeft w:val="0"/>
          <w:marRight w:val="0"/>
          <w:marTop w:val="0"/>
          <w:marBottom w:val="0"/>
          <w:divBdr>
            <w:top w:val="none" w:sz="0" w:space="0" w:color="auto"/>
            <w:left w:val="none" w:sz="0" w:space="0" w:color="auto"/>
            <w:bottom w:val="none" w:sz="0" w:space="0" w:color="auto"/>
            <w:right w:val="none" w:sz="0" w:space="0" w:color="auto"/>
          </w:divBdr>
        </w:div>
        <w:div w:id="683895320">
          <w:marLeft w:val="0"/>
          <w:marRight w:val="0"/>
          <w:marTop w:val="0"/>
          <w:marBottom w:val="0"/>
          <w:divBdr>
            <w:top w:val="none" w:sz="0" w:space="0" w:color="auto"/>
            <w:left w:val="none" w:sz="0" w:space="0" w:color="auto"/>
            <w:bottom w:val="none" w:sz="0" w:space="0" w:color="auto"/>
            <w:right w:val="none" w:sz="0" w:space="0" w:color="auto"/>
          </w:divBdr>
        </w:div>
      </w:divsChild>
    </w:div>
    <w:div w:id="913970962">
      <w:bodyDiv w:val="1"/>
      <w:marLeft w:val="0"/>
      <w:marRight w:val="0"/>
      <w:marTop w:val="0"/>
      <w:marBottom w:val="0"/>
      <w:divBdr>
        <w:top w:val="none" w:sz="0" w:space="0" w:color="auto"/>
        <w:left w:val="none" w:sz="0" w:space="0" w:color="auto"/>
        <w:bottom w:val="none" w:sz="0" w:space="0" w:color="auto"/>
        <w:right w:val="none" w:sz="0" w:space="0" w:color="auto"/>
      </w:divBdr>
    </w:div>
    <w:div w:id="1140228052">
      <w:bodyDiv w:val="1"/>
      <w:marLeft w:val="0"/>
      <w:marRight w:val="0"/>
      <w:marTop w:val="0"/>
      <w:marBottom w:val="0"/>
      <w:divBdr>
        <w:top w:val="none" w:sz="0" w:space="0" w:color="auto"/>
        <w:left w:val="none" w:sz="0" w:space="0" w:color="auto"/>
        <w:bottom w:val="none" w:sz="0" w:space="0" w:color="auto"/>
        <w:right w:val="none" w:sz="0" w:space="0" w:color="auto"/>
      </w:divBdr>
      <w:divsChild>
        <w:div w:id="232011260">
          <w:marLeft w:val="0"/>
          <w:marRight w:val="0"/>
          <w:marTop w:val="0"/>
          <w:marBottom w:val="0"/>
          <w:divBdr>
            <w:top w:val="none" w:sz="0" w:space="0" w:color="auto"/>
            <w:left w:val="none" w:sz="0" w:space="0" w:color="auto"/>
            <w:bottom w:val="none" w:sz="0" w:space="0" w:color="auto"/>
            <w:right w:val="none" w:sz="0" w:space="0" w:color="auto"/>
          </w:divBdr>
        </w:div>
        <w:div w:id="381488142">
          <w:marLeft w:val="0"/>
          <w:marRight w:val="0"/>
          <w:marTop w:val="0"/>
          <w:marBottom w:val="0"/>
          <w:divBdr>
            <w:top w:val="none" w:sz="0" w:space="0" w:color="auto"/>
            <w:left w:val="none" w:sz="0" w:space="0" w:color="auto"/>
            <w:bottom w:val="none" w:sz="0" w:space="0" w:color="auto"/>
            <w:right w:val="none" w:sz="0" w:space="0" w:color="auto"/>
          </w:divBdr>
        </w:div>
        <w:div w:id="1913008703">
          <w:marLeft w:val="0"/>
          <w:marRight w:val="0"/>
          <w:marTop w:val="0"/>
          <w:marBottom w:val="0"/>
          <w:divBdr>
            <w:top w:val="none" w:sz="0" w:space="0" w:color="auto"/>
            <w:left w:val="none" w:sz="0" w:space="0" w:color="auto"/>
            <w:bottom w:val="none" w:sz="0" w:space="0" w:color="auto"/>
            <w:right w:val="none" w:sz="0" w:space="0" w:color="auto"/>
          </w:divBdr>
        </w:div>
      </w:divsChild>
    </w:div>
    <w:div w:id="1426462571">
      <w:bodyDiv w:val="1"/>
      <w:marLeft w:val="0"/>
      <w:marRight w:val="0"/>
      <w:marTop w:val="0"/>
      <w:marBottom w:val="0"/>
      <w:divBdr>
        <w:top w:val="none" w:sz="0" w:space="0" w:color="auto"/>
        <w:left w:val="none" w:sz="0" w:space="0" w:color="auto"/>
        <w:bottom w:val="none" w:sz="0" w:space="0" w:color="auto"/>
        <w:right w:val="none" w:sz="0" w:space="0" w:color="auto"/>
      </w:divBdr>
      <w:divsChild>
        <w:div w:id="1276911822">
          <w:marLeft w:val="0"/>
          <w:marRight w:val="0"/>
          <w:marTop w:val="0"/>
          <w:marBottom w:val="0"/>
          <w:divBdr>
            <w:top w:val="none" w:sz="0" w:space="0" w:color="auto"/>
            <w:left w:val="none" w:sz="0" w:space="0" w:color="auto"/>
            <w:bottom w:val="none" w:sz="0" w:space="0" w:color="auto"/>
            <w:right w:val="none" w:sz="0" w:space="0" w:color="auto"/>
          </w:divBdr>
        </w:div>
        <w:div w:id="2108188808">
          <w:marLeft w:val="0"/>
          <w:marRight w:val="0"/>
          <w:marTop w:val="0"/>
          <w:marBottom w:val="0"/>
          <w:divBdr>
            <w:top w:val="none" w:sz="0" w:space="0" w:color="auto"/>
            <w:left w:val="none" w:sz="0" w:space="0" w:color="auto"/>
            <w:bottom w:val="none" w:sz="0" w:space="0" w:color="auto"/>
            <w:right w:val="none" w:sz="0" w:space="0" w:color="auto"/>
          </w:divBdr>
        </w:div>
        <w:div w:id="1316644306">
          <w:marLeft w:val="0"/>
          <w:marRight w:val="0"/>
          <w:marTop w:val="0"/>
          <w:marBottom w:val="0"/>
          <w:divBdr>
            <w:top w:val="none" w:sz="0" w:space="0" w:color="auto"/>
            <w:left w:val="none" w:sz="0" w:space="0" w:color="auto"/>
            <w:bottom w:val="none" w:sz="0" w:space="0" w:color="auto"/>
            <w:right w:val="none" w:sz="0" w:space="0" w:color="auto"/>
          </w:divBdr>
        </w:div>
      </w:divsChild>
    </w:div>
    <w:div w:id="16638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Holmes@gov.sco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uploads/system/uploads/attachment_data/file/236901/BHR_Action_Plan_-_final_online_version_1_.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lan.Thornburrow@bit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g.humanrights.d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globalcompact.org/sdgs/abou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ITC">
      <a:dk1>
        <a:sysClr val="windowText" lastClr="000000"/>
      </a:dk1>
      <a:lt1>
        <a:sysClr val="window" lastClr="FFFFFF"/>
      </a:lt1>
      <a:dk2>
        <a:srgbClr val="646363"/>
      </a:dk2>
      <a:lt2>
        <a:srgbClr val="E6E6E6"/>
      </a:lt2>
      <a:accent1>
        <a:srgbClr val="E6007E"/>
      </a:accent1>
      <a:accent2>
        <a:srgbClr val="7B003D"/>
      </a:accent2>
      <a:accent3>
        <a:srgbClr val="3D0E4B"/>
      </a:accent3>
      <a:accent4>
        <a:srgbClr val="003E66"/>
      </a:accent4>
      <a:accent5>
        <a:srgbClr val="005552"/>
      </a:accent5>
      <a:accent6>
        <a:srgbClr val="494C00"/>
      </a:accent6>
      <a:hlink>
        <a:srgbClr val="003E66"/>
      </a:hlink>
      <a:folHlink>
        <a:srgbClr val="003E66"/>
      </a:folHlink>
    </a:clrScheme>
    <a:fontScheme name="BITC">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B03C796C470240AD05C70F42F551B2" ma:contentTypeVersion="7" ma:contentTypeDescription="Create a new document." ma:contentTypeScope="" ma:versionID="97133ac2f31cba4a4ae1a4c1d54622fe">
  <xsd:schema xmlns:xsd="http://www.w3.org/2001/XMLSchema" xmlns:xs="http://www.w3.org/2001/XMLSchema" xmlns:p="http://schemas.microsoft.com/office/2006/metadata/properties" xmlns:ns2="48141538-6320-467e-9ecb-71bae512c350" xmlns:ns3="d6450435-0826-4a84-844f-a67affc4083d" targetNamespace="http://schemas.microsoft.com/office/2006/metadata/properties" ma:root="true" ma:fieldsID="f25736a6ecb5aea1baa8fca8e3b1c477" ns2:_="" ns3:_="">
    <xsd:import namespace="48141538-6320-467e-9ecb-71bae512c350"/>
    <xsd:import namespace="d6450435-0826-4a84-844f-a67affc4083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41538-6320-467e-9ecb-71bae512c3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450435-0826-4a84-844f-a67affc4083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8141538-6320-467e-9ecb-71bae512c350">EDI01-1985716295-5816</_dlc_DocId>
    <_dlc_DocIdUrl xmlns="48141538-6320-467e-9ecb-71bae512c350">
      <Url>https://bitc.sharepoint.com/teams/scotland/_layouts/15/DocIdRedir.aspx?ID=EDI01-1985716295-5816</Url>
      <Description>EDI01-1985716295-5816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94D2-F903-40D6-ADA2-0A06DC9EAD51}">
  <ds:schemaRefs>
    <ds:schemaRef ds:uri="http://schemas.microsoft.com/sharepoint/events"/>
  </ds:schemaRefs>
</ds:datastoreItem>
</file>

<file path=customXml/itemProps2.xml><?xml version="1.0" encoding="utf-8"?>
<ds:datastoreItem xmlns:ds="http://schemas.openxmlformats.org/officeDocument/2006/customXml" ds:itemID="{F6C99BAA-E5ED-4F6D-9672-3A58EA1D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41538-6320-467e-9ecb-71bae512c350"/>
    <ds:schemaRef ds:uri="d6450435-0826-4a84-844f-a67affc40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965C0-7793-4DEE-BB9F-5FFEEC4974FA}">
  <ds:schemaRefs>
    <ds:schemaRef ds:uri="http://schemas.microsoft.com/office/2006/metadata/properties"/>
    <ds:schemaRef ds:uri="d6450435-0826-4a84-844f-a67affc408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141538-6320-467e-9ecb-71bae512c350"/>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16DC6C0-8B39-48ED-AA14-97B8FFD29D1E}">
  <ds:schemaRefs>
    <ds:schemaRef ds:uri="http://schemas.microsoft.com/sharepoint/v3/contenttype/forms"/>
  </ds:schemaRefs>
</ds:datastoreItem>
</file>

<file path=customXml/itemProps5.xml><?xml version="1.0" encoding="utf-8"?>
<ds:datastoreItem xmlns:ds="http://schemas.openxmlformats.org/officeDocument/2006/customXml" ds:itemID="{B90EFA39-DDD6-234B-AB66-F11DBE24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BITC Scotland Word Template (Amanda Mackenzie)</vt:lpstr>
    </vt:vector>
  </TitlesOfParts>
  <Company>CTS Creative Template Solutions Limited</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BITC Scotland Word Template (Amanda Mackenzie)</dc:title>
  <dc:creator>Dr Cynthia Marks</dc:creator>
  <cp:lastModifiedBy>Cynthia Fry</cp:lastModifiedBy>
  <cp:revision>3</cp:revision>
  <cp:lastPrinted>2018-02-05T11:01:00Z</cp:lastPrinted>
  <dcterms:created xsi:type="dcterms:W3CDTF">2018-02-08T20:26:00Z</dcterms:created>
  <dcterms:modified xsi:type="dcterms:W3CDTF">2018-02-09T15:16:00Z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12 February 2016</vt:lpwstr>
  </property>
  <property fmtid="{D5CDD505-2E9C-101B-9397-08002B2CF9AE}" pid="4" name="ContentTypeId">
    <vt:lpwstr>0x010100F4B03C796C470240AD05C70F42F551B2</vt:lpwstr>
  </property>
  <property fmtid="{D5CDD505-2E9C-101B-9397-08002B2CF9AE}" pid="5" name="_dlc_DocIdItemGuid">
    <vt:lpwstr>f9584636-bccb-47a8-ab11-44e75c03cf7f</vt:lpwstr>
  </property>
</Properties>
</file>